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rsidTr="00BD6185">
        <w:trPr>
          <w:trHeight w:val="852"/>
          <w:jc w:val="center"/>
        </w:trPr>
        <w:tc>
          <w:tcPr>
            <w:tcW w:w="6940" w:type="dxa"/>
            <w:vMerge w:val="restart"/>
            <w:tcBorders>
              <w:right w:val="single" w:sz="4" w:space="0" w:color="auto"/>
            </w:tcBorders>
          </w:tcPr>
          <w:p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Pr>
                <w:rFonts w:ascii="AdvP6960" w:hAnsi="AdvP6960" w:cs="AdvP6960"/>
                <w:color w:val="241F20"/>
                <w:szCs w:val="18"/>
                <w:lang w:eastAsia="it-IT"/>
              </w:rPr>
              <w:t xml:space="preserve"> </w:t>
            </w:r>
            <w:r>
              <w:rPr>
                <w:rFonts w:cs="Arial"/>
                <w:b/>
                <w:bCs/>
                <w:i/>
                <w:iCs/>
                <w:color w:val="000066"/>
                <w:sz w:val="24"/>
                <w:szCs w:val="24"/>
                <w:lang w:eastAsia="it-IT"/>
              </w:rPr>
              <w:t>CHEMICAL ENGINEERING</w:t>
            </w:r>
            <w:r>
              <w:rPr>
                <w:rFonts w:cs="Arial"/>
                <w:b/>
                <w:bCs/>
                <w:i/>
                <w:iCs/>
                <w:color w:val="0033FF"/>
                <w:sz w:val="24"/>
                <w:szCs w:val="24"/>
                <w:lang w:eastAsia="it-IT"/>
              </w:rPr>
              <w:t xml:space="preserve"> </w:t>
            </w:r>
            <w:r>
              <w:rPr>
                <w:rFonts w:cs="Arial"/>
                <w:b/>
                <w:bCs/>
                <w:i/>
                <w:iCs/>
                <w:color w:val="666666"/>
                <w:sz w:val="24"/>
                <w:szCs w:val="24"/>
                <w:lang w:eastAsia="it-IT"/>
              </w:rPr>
              <w:t>TRANSACTIONS</w:t>
            </w:r>
            <w:r>
              <w:rPr>
                <w:color w:val="333333"/>
                <w:sz w:val="24"/>
                <w:szCs w:val="24"/>
                <w:lang w:eastAsia="it-IT"/>
              </w:rPr>
              <w:t xml:space="preserve"> </w:t>
            </w:r>
            <w:r>
              <w:rPr>
                <w:rFonts w:cs="Arial"/>
                <w:b/>
                <w:bCs/>
                <w:i/>
                <w:iCs/>
                <w:color w:val="000066"/>
                <w:sz w:val="27"/>
                <w:szCs w:val="27"/>
                <w:lang w:eastAsia="it-IT"/>
              </w:rPr>
              <w:br/>
            </w:r>
          </w:p>
          <w:p w:rsidR="000A03B2" w:rsidRPr="00B57B36" w:rsidRDefault="00A76EFC" w:rsidP="001D21AF">
            <w:pPr>
              <w:tabs>
                <w:tab w:val="left" w:pos="-108"/>
              </w:tabs>
              <w:ind w:left="-108"/>
              <w:rPr>
                <w:rFonts w:cs="Arial"/>
                <w:b/>
                <w:bCs/>
                <w:i/>
                <w:iCs/>
                <w:color w:val="000066"/>
                <w:sz w:val="22"/>
                <w:szCs w:val="22"/>
                <w:lang w:eastAsia="it-IT"/>
              </w:rPr>
            </w:pPr>
            <w:r>
              <w:rPr>
                <w:rFonts w:cs="Arial"/>
                <w:b/>
                <w:bCs/>
                <w:i/>
                <w:iCs/>
                <w:color w:val="000066"/>
                <w:sz w:val="22"/>
                <w:szCs w:val="22"/>
                <w:lang w:eastAsia="it-IT"/>
              </w:rPr>
              <w:t>VOL. xxx, 2026</w:t>
            </w:r>
          </w:p>
        </w:tc>
        <w:tc>
          <w:tcPr>
            <w:tcW w:w="1842"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Pr>
                <w:rFonts w:cs="Arial"/>
                <w:sz w:val="14"/>
                <w:szCs w:val="14"/>
              </w:rPr>
              <w:t>A publication of</w:t>
            </w:r>
          </w:p>
          <w:p w:rsidR="000A03B2" w:rsidRPr="00B57B36" w:rsidRDefault="000A03B2" w:rsidP="00CD5FE2">
            <w:pPr>
              <w:jc w:val="right"/>
            </w:pPr>
            <w:r>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rsidTr="00BD6185">
        <w:trPr>
          <w:trHeight w:val="567"/>
          <w:jc w:val="center"/>
        </w:trPr>
        <w:tc>
          <w:tcPr>
            <w:tcW w:w="6940" w:type="dxa"/>
            <w:vMerge/>
            <w:tcBorders>
              <w:right w:val="single" w:sz="4" w:space="0" w:color="auto"/>
            </w:tcBorders>
          </w:tcPr>
          <w:p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Pr>
                <w:rFonts w:cs="Arial"/>
                <w:sz w:val="14"/>
                <w:szCs w:val="14"/>
              </w:rPr>
              <w:t>The Italian Association</w:t>
            </w:r>
          </w:p>
          <w:p w:rsidR="000A03B2" w:rsidRPr="00B57B36" w:rsidRDefault="000A03B2" w:rsidP="00CD5FE2">
            <w:pPr>
              <w:spacing w:line="140" w:lineRule="atLeast"/>
              <w:jc w:val="right"/>
              <w:rPr>
                <w:rFonts w:cs="Arial"/>
                <w:sz w:val="14"/>
                <w:szCs w:val="14"/>
              </w:rPr>
            </w:pPr>
            <w:r>
              <w:rPr>
                <w:rFonts w:cs="Arial"/>
                <w:sz w:val="14"/>
                <w:szCs w:val="14"/>
              </w:rPr>
              <w:t>of Chemical Engineering</w:t>
            </w:r>
          </w:p>
          <w:p w:rsidR="000A03B2" w:rsidRPr="000D0268" w:rsidRDefault="000D0268" w:rsidP="00CD5FE2">
            <w:pPr>
              <w:spacing w:line="140" w:lineRule="atLeast"/>
              <w:jc w:val="right"/>
              <w:rPr>
                <w:rFonts w:cs="Arial"/>
                <w:sz w:val="13"/>
                <w:szCs w:val="13"/>
              </w:rPr>
            </w:pPr>
            <w:r>
              <w:rPr>
                <w:rFonts w:cs="Arial"/>
                <w:sz w:val="13"/>
                <w:szCs w:val="13"/>
              </w:rPr>
              <w:t>Online at www.cetjournal.it</w:t>
            </w:r>
          </w:p>
        </w:tc>
      </w:tr>
      <w:tr w:rsidR="000A03B2" w:rsidRPr="00B57B36" w:rsidTr="00BD6185">
        <w:trPr>
          <w:trHeight w:val="68"/>
          <w:jc w:val="center"/>
        </w:trPr>
        <w:tc>
          <w:tcPr>
            <w:tcW w:w="8782" w:type="dxa"/>
            <w:gridSpan w:val="2"/>
          </w:tcPr>
          <w:p w:rsidR="00AA7D26" w:rsidRPr="00CB2614" w:rsidRDefault="004A5E57" w:rsidP="00CB2614">
            <w:pPr>
              <w:ind w:left="-107"/>
              <w:outlineLvl w:val="2"/>
              <w:rPr>
                <w:rFonts w:ascii="Tahoma" w:hAnsi="Tahoma" w:cs="Tahoma"/>
                <w:color w:val="000000"/>
                <w:sz w:val="14"/>
                <w:szCs w:val="14"/>
                <w:shd w:val="clear" w:color="auto" w:fill="FFFFFF"/>
                <w:lang w:val="it-IT"/>
              </w:rPr>
            </w:pPr>
            <w:r>
              <w:rPr>
                <w:rFonts w:ascii="Tahoma" w:hAnsi="Tahoma" w:cs="Tahoma"/>
                <w:iCs/>
                <w:color w:val="333333"/>
                <w:sz w:val="14"/>
                <w:szCs w:val="14"/>
                <w:lang w:val="it-IT" w:eastAsia="it-IT"/>
              </w:rPr>
              <w:t>Guest Editors:</w:t>
            </w:r>
            <w:r>
              <w:rPr>
                <w:rFonts w:ascii="Tahoma" w:hAnsi="Tahoma" w:cs="Tahoma"/>
                <w:color w:val="000000"/>
                <w:sz w:val="14"/>
                <w:szCs w:val="14"/>
                <w:shd w:val="clear" w:color="auto" w:fill="FFFFFF"/>
                <w:lang w:val="it-IT"/>
              </w:rPr>
              <w:t xml:space="preserve"> Flavio Manenti, Botir Usmonov, Alessandro Di Pretoro</w:t>
            </w:r>
          </w:p>
          <w:p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2026, AIDIC Servizi S.r.l.</w:t>
            </w:r>
            <w:r>
              <w:rPr>
                <w:rFonts w:ascii="Tahoma" w:hAnsi="Tahoma" w:cs="Tahoma"/>
                <w:iCs/>
                <w:color w:val="333333"/>
                <w:sz w:val="14"/>
                <w:szCs w:val="14"/>
                <w:lang w:eastAsia="it-IT"/>
              </w:rPr>
              <w:br/>
            </w:r>
            <w:r>
              <w:rPr>
                <w:rFonts w:ascii="Tahoma" w:hAnsi="Tahoma" w:cs="Tahoma"/>
                <w:b/>
                <w:iCs/>
                <w:color w:val="000000"/>
                <w:sz w:val="14"/>
                <w:szCs w:val="14"/>
                <w:lang w:eastAsia="it-IT"/>
              </w:rPr>
              <w:t>ISBN</w:t>
            </w:r>
            <w:r>
              <w:rPr>
                <w:rFonts w:ascii="Tahoma" w:hAnsi="Tahoma" w:cs="Tahoma"/>
                <w:iCs/>
                <w:color w:val="000000"/>
                <w:sz w:val="14"/>
                <w:szCs w:val="14"/>
                <w:lang w:eastAsia="it-IT"/>
              </w:rPr>
              <w:t xml:space="preserve"> </w:t>
            </w:r>
            <w:r>
              <w:rPr>
                <w:rFonts w:ascii="Tahoma" w:hAnsi="Tahoma" w:cs="Tahoma"/>
                <w:sz w:val="14"/>
                <w:szCs w:val="14"/>
              </w:rPr>
              <w:t>979-12-81206-xx-x</w:t>
            </w:r>
            <w:r>
              <w:rPr>
                <w:rFonts w:ascii="Tahoma" w:hAnsi="Tahoma" w:cs="Tahoma"/>
                <w:iCs/>
                <w:color w:val="333333"/>
                <w:sz w:val="14"/>
                <w:szCs w:val="14"/>
                <w:lang w:eastAsia="it-IT"/>
              </w:rPr>
              <w:t xml:space="preserve">; </w:t>
            </w:r>
            <w:r>
              <w:rPr>
                <w:rFonts w:ascii="Tahoma" w:hAnsi="Tahoma" w:cs="Tahoma"/>
                <w:b/>
                <w:iCs/>
                <w:color w:val="333333"/>
                <w:sz w:val="14"/>
                <w:szCs w:val="14"/>
                <w:lang w:eastAsia="it-IT"/>
              </w:rPr>
              <w:t>ISSN</w:t>
            </w:r>
            <w:r>
              <w:rPr>
                <w:rFonts w:ascii="Tahoma" w:hAnsi="Tahoma" w:cs="Tahoma"/>
                <w:iCs/>
                <w:color w:val="333333"/>
                <w:sz w:val="14"/>
                <w:szCs w:val="14"/>
                <w:lang w:eastAsia="it-IT"/>
              </w:rPr>
              <w:t xml:space="preserve"> 2283-9216</w:t>
            </w:r>
          </w:p>
        </w:tc>
      </w:tr>
    </w:tbl>
    <w:bookmarkEnd w:id="0"/>
    <w:p w:rsidR="00E978D0" w:rsidRPr="00BD6185" w:rsidRDefault="006E7CD4" w:rsidP="00E978D0">
      <w:pPr>
        <w:pStyle w:val="CETTitle"/>
        <w:rPr>
          <w:lang w:val="en-US"/>
        </w:rPr>
      </w:pPr>
      <w:r>
        <w:t>MODIFIED WATERPROOFING PROTECTIVE MATERIALS BASED ON LOCAL RAW MATERIALS</w:t>
      </w:r>
    </w:p>
    <w:p w:rsidR="0057522F" w:rsidRPr="00B57B36" w:rsidRDefault="0057522F" w:rsidP="0057522F">
      <w:pPr>
        <w:pStyle w:val="CETAuthors"/>
      </w:pPr>
      <w:r>
        <w:t>Samandar Shomurodov</w:t>
      </w:r>
      <w:r>
        <w:rPr>
          <w:vertAlign w:val="superscript"/>
        </w:rPr>
        <w:t>a,</w:t>
      </w:r>
      <w:r>
        <w:t>*, Murodjon Vapayev</w:t>
      </w:r>
      <w:r>
        <w:rPr>
          <w:vertAlign w:val="superscript"/>
        </w:rPr>
        <w:t>b</w:t>
      </w:r>
      <w:r>
        <w:t>, Anvar Ziyodullayev</w:t>
      </w:r>
      <w:r>
        <w:rPr>
          <w:vertAlign w:val="superscript"/>
        </w:rPr>
        <w:t>a</w:t>
      </w:r>
      <w:r>
        <w:t>, Elmira Teshabaeva</w:t>
      </w:r>
      <w:r>
        <w:rPr>
          <w:vertAlign w:val="superscript"/>
        </w:rPr>
        <w:t>c</w:t>
      </w:r>
      <w:r>
        <w:t>, Akhmadjan Ibadullayev</w:t>
      </w:r>
      <w:r>
        <w:rPr>
          <w:vertAlign w:val="superscript"/>
        </w:rPr>
        <w:t>c</w:t>
      </w:r>
      <w:r>
        <w:t>,</w:t>
      </w:r>
    </w:p>
    <w:p w:rsidR="0057522F" w:rsidRPr="00B57B36" w:rsidRDefault="0057522F" w:rsidP="0057522F">
      <w:pPr>
        <w:pStyle w:val="CETAddress"/>
      </w:pPr>
      <w:r>
        <w:rPr>
          <w:vertAlign w:val="superscript"/>
        </w:rPr>
        <w:t>a</w:t>
      </w:r>
      <w:r>
        <w:t>Tashkent Institute of Chemical Technology, 32 Navoi Street, Tashkent, Uzbekistan, 100011, info@tkti.uz</w:t>
      </w:r>
    </w:p>
    <w:p w:rsidR="0057522F" w:rsidRDefault="0057522F" w:rsidP="0057522F">
      <w:pPr>
        <w:pStyle w:val="CETAddress"/>
      </w:pPr>
      <w:r>
        <w:rPr>
          <w:vertAlign w:val="superscript"/>
        </w:rPr>
        <w:t>b</w:t>
      </w:r>
      <w:r>
        <w:t xml:space="preserve">University of Tashkent for Applied Sciences, 1 Gavkhar Street, Chilanzar District, Tashkent, Uzbekistan, 160115, info@utas.uz </w:t>
      </w:r>
    </w:p>
    <w:p w:rsidR="0057522F" w:rsidRDefault="0057522F" w:rsidP="0057522F">
      <w:pPr>
        <w:pStyle w:val="CETAddress"/>
      </w:pPr>
      <w:r>
        <w:rPr>
          <w:vertAlign w:val="superscript"/>
        </w:rPr>
        <w:t>c</w:t>
      </w:r>
      <w:r>
        <w:t>Tashkent State Transport University, Mirabad District, Temir Yo‘lchilar Street, 1, Tashkent, Uzbekistan, 100167, rektorat@tstu.uz</w:t>
      </w:r>
    </w:p>
    <w:p w:rsidR="0057522F" w:rsidRDefault="002A289A" w:rsidP="0057522F">
      <w:pPr>
        <w:pStyle w:val="CETAddress"/>
      </w:pPr>
      <w:hyperlink r:id="rId10" w:history="1">
        <w:r w:rsidR="00BD729C">
          <w:rPr>
            <w:rStyle w:val="afffc"/>
          </w:rPr>
          <w:t>samandarshomurodov919@gmail.com</w:t>
        </w:r>
      </w:hyperlink>
    </w:p>
    <w:p w:rsidR="0057522F" w:rsidRDefault="0057522F" w:rsidP="0057522F">
      <w:pPr>
        <w:pStyle w:val="CETListbullets"/>
        <w:ind w:left="113" w:firstLine="0"/>
        <w:rPr>
          <w:lang w:val="en-US"/>
        </w:rPr>
      </w:pPr>
    </w:p>
    <w:p w:rsidR="00CF6922" w:rsidRPr="00CF6922" w:rsidRDefault="00CF6922" w:rsidP="0049067C">
      <w:pPr>
        <w:pStyle w:val="CETListbullets"/>
        <w:ind w:left="0" w:firstLine="0"/>
        <w:rPr>
          <w:lang w:val="en-US"/>
        </w:rPr>
      </w:pPr>
      <w:r>
        <w:rPr>
          <w:lang w:val="en-US"/>
        </w:rPr>
        <w:t xml:space="preserve">This research investigates the enhancement of durability in bitumen-based materials used for waterproofing and protecting underground structures within the harsh continental and arid climatic conditions of the Republic of Uzbekistan. To address the premature aging of conventional roofing materials caused by intense solar radiation and extreme thermal fluctuations, innovative composite formulations were developed using local raw materials and industrial by-products. The study utilized petroleum bitumens of grades BNK-40/160 and BNK-90/30 sourced from the "Uzruberoid" plant, alongside secondary resources such as crumb rubber and cement dust. Experimental analysis focused on the thermomechanical degradation of rubber crumb within the bitumen medium at temperatures ranging from 210°C to 230°C, evaluating its impact on the resulting composite's properties. Findings demonstrate that incorporating a 30% rubber modifier and 3-5% basalt fiber reinforcement significantly increases the softening point to </w:t>
      </w:r>
      <w:bookmarkStart w:id="1" w:name="_Hlk228379167"/>
      <w:r>
        <w:rPr>
          <w:lang w:val="en-US"/>
        </w:rPr>
        <w:t>140</w:t>
      </w:r>
      <w:r>
        <w:rPr>
          <w:rFonts w:cs="Arial"/>
          <w:noProof/>
          <w:szCs w:val="18"/>
          <w:lang w:val="en-US"/>
        </w:rPr>
        <w:t>°C</w:t>
      </w:r>
      <w:bookmarkEnd w:id="1"/>
      <w:r>
        <w:rPr>
          <w:lang w:val="en-US"/>
        </w:rPr>
        <w:t>, markedly improving heat resistance. The physical and mechanical parameters of the developed rubber-bitumen composition (RBC), including a brittle point down to -15°C and tensile strength between 0.3–0.35 MPa, were found to be compliant with international regulatory requirements. Furthermore, the potential application of these materials as sound, noise, and vibration insulation in the domestic automotive industry, specifically for passenger car interiors, was validated through specialized testing. This technology facilitates the efficient utilization of indigenous resources while reducing the overall cost of high-performance insulation products.</w:t>
      </w:r>
    </w:p>
    <w:p w:rsidR="005449AC" w:rsidRPr="005449AC" w:rsidRDefault="00600535" w:rsidP="005449AC">
      <w:pPr>
        <w:pStyle w:val="CETHeading1"/>
        <w:rPr>
          <w:lang w:val="en-GB"/>
        </w:rPr>
      </w:pPr>
      <w:r>
        <w:rPr>
          <w:lang w:val="en-GB"/>
        </w:rPr>
        <w:t>Introduction</w:t>
      </w:r>
    </w:p>
    <w:p w:rsidR="0057522F" w:rsidRPr="006C1F36" w:rsidRDefault="005449AC" w:rsidP="0049067C">
      <w:pPr>
        <w:pStyle w:val="CETListbullets"/>
        <w:ind w:left="0" w:firstLine="0"/>
        <w:rPr>
          <w:rFonts w:cs="Arial"/>
          <w:szCs w:val="18"/>
        </w:rPr>
      </w:pPr>
      <w:r>
        <w:t xml:space="preserve">In the contemporary construction landscape of the Republic of Uzbekistan, the isolation of underground infrastructures and the implementation of soft roofing solutions are predominantly dependent on bitumen-based materials, among which traditional roofing felt remains the primary industrial standard. These essential materials are manufactured by the region's sole production entity, LLC “Uzruberoid,” and while they technically adhere to the parameters established by GOST 10923-82, their operational efficiency is frequently compromised by the unique and severe ecological stressors of Central Asia. The discrepancy between standard quality metrics and real-world durability under extreme heat necessitates a comprehensive re-evaluation of material compositions to ensure long-term structural integrity (Jabborov, 1992).  The degradation of these construction materials in arid zones is fundamentally driven by synergetic environmental factors, most notably intensive solar radiation and significant thermal fluctuations. These external influences catalyze detrimental chemical transformations within the bitumen, characterized by accelerated polymerization and the oxidative breakdown of organic polymers. As these molecular changes progress, the material loses its inherent visco-elastic properties, leading to premature aging and a susceptibility to structural wear caused by abrasive dust exposure, high-velocity winds, and contact with mineralized groundwater.  To mitigate these challenges, the development of high-performance polymer-bitumen compositions (PBC) utilizing local secondary resources has emerged as a vital scientific </w:t>
      </w:r>
      <w:r>
        <w:lastRenderedPageBreak/>
        <w:t xml:space="preserve">frontier, building on earlier bitumen–polymer composite technologies developed for the region from local raw materials and industrial waste (Jabbarov et al., 2010; Bazarbayev et al., 2017; Ibadullaev, Teshabaeva and Juraev, 2016). By integrating rubber crumb—derived from recycled automotive tires—as a local modifier, the research demonstrates a significant enhancement in the bitumen's thermal stability. When processed through thermomechanical degradation at elevated temperatures of 210°C to 230°C, the rubberized bitumen forms a robust matrix capable of resisting the softening typically induced by solar heat.  The structural performance is further optimized through the strategic inclusion of reinforcing agents such as basalt fibers and mineral fillers like cement dust. Experimental data indicates that these hybrid composites can achieve a softening point of up to 140°C, </w:t>
      </w:r>
      <w:r w:rsidRPr="006C1F36">
        <w:rPr>
          <w:rFonts w:cs="Arial"/>
        </w:rPr>
        <w:t xml:space="preserve">effectively preventing layer displacement and bubbling under peak thermal loads. Furthermore, these advanced materials have proven effective not only for architectural waterproofing but also as specialized insulation for sound and vibration in the automotive sector, as evidenced by successful implementations in passenger vehicle interiors. This approach not </w:t>
      </w:r>
      <w:r w:rsidRPr="006C1F36">
        <w:rPr>
          <w:rFonts w:cs="Arial"/>
          <w:szCs w:val="18"/>
        </w:rPr>
        <w:t>only provides a high-quality alternative to imported modifiers like Kraton but also fosters an ecologically sustainable model for industrial waste management within the national economy (Ibadullaev et al., 2021; Ibadullaev et al., 2022). This is consistent with the circular-economy trend of converting waste streams into sustainable bituminous binders, as recently shown for pyrolysis-derived products published in this journal (Alfè et al., 2024).</w:t>
      </w:r>
    </w:p>
    <w:p w:rsidR="00BD6185" w:rsidRPr="006C1F36" w:rsidRDefault="00BD6185" w:rsidP="0057522F">
      <w:pPr>
        <w:pStyle w:val="CETHeading1"/>
        <w:rPr>
          <w:rFonts w:cs="Arial"/>
        </w:rPr>
      </w:pPr>
      <w:r w:rsidRPr="006C1F36">
        <w:rPr>
          <w:rFonts w:cs="Arial"/>
        </w:rPr>
        <w:t>Materials and Methods</w:t>
      </w:r>
    </w:p>
    <w:p w:rsidR="008B5DEF" w:rsidRDefault="003F4784" w:rsidP="0049067C">
      <w:pPr>
        <w:pStyle w:val="CETListbullets"/>
        <w:ind w:left="0" w:firstLine="0"/>
      </w:pPr>
      <w:r w:rsidRPr="006C1F36">
        <w:rPr>
          <w:rFonts w:cs="Arial"/>
        </w:rPr>
        <w:t>The fundamental objective of this</w:t>
      </w:r>
      <w:r>
        <w:t xml:space="preserve"> experimental study was to synthesize high-performance waterproofing systems capable of withstanding the rigorous environmental stressors of the Arid regions. For the purpose of conducting comprehensive laboratory investigations, two specific grades of petroleum-based bitumens were procured from the "Uzruberoid" LLC production facility: BNK-40/160 and BNK-90/30 (classified as grades 2 and 5, respectively). These bitumen substrates served as the primary binders for the development of the modified polymer-bitumen matrix.  To enhance the structural integrity and thermal resilience of the compositions, locally sourced secondary resources and industrial by-products were integrated into the formulation. The primary modifying agent utilized was rubber crumb, obtained through the mechanical recycling of automotive tire waste. Furthermore, the composite was reinforced with mineral fillers, specifically cement dust, and basalt fibers to stabilize the network topology under high-temperature conditions.</w:t>
      </w:r>
    </w:p>
    <w:p w:rsidR="008B5DEF" w:rsidRDefault="00BD6185" w:rsidP="008B5DEF">
      <w:pPr>
        <w:pStyle w:val="CETListbullets"/>
        <w:ind w:left="113" w:firstLine="0"/>
        <w:jc w:val="right"/>
      </w:pPr>
      <w:r>
        <w:t>Table No. 1</w:t>
      </w:r>
    </w:p>
    <w:p w:rsidR="007D0951" w:rsidRDefault="008B5DEF" w:rsidP="008B5DEF">
      <w:pPr>
        <w:pStyle w:val="CETListbullets"/>
        <w:ind w:firstLine="0"/>
        <w:jc w:val="center"/>
      </w:pPr>
      <w:r>
        <w:t>Physical and mechanical properties of the initial raw materials</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6241"/>
        <w:gridCol w:w="1872"/>
      </w:tblGrid>
      <w:tr w:rsidR="008B5DEF" w:rsidRPr="00CF253E" w:rsidTr="00641B0F">
        <w:trPr>
          <w:trHeight w:val="340"/>
        </w:trPr>
        <w:tc>
          <w:tcPr>
            <w:tcW w:w="563" w:type="dxa"/>
            <w:vAlign w:val="center"/>
          </w:tcPr>
          <w:p w:rsidR="008B5DEF" w:rsidRPr="008B5DEF" w:rsidRDefault="008B5DEF" w:rsidP="00641B0F">
            <w:pPr>
              <w:spacing w:line="240" w:lineRule="auto"/>
              <w:jc w:val="center"/>
              <w:rPr>
                <w:rFonts w:cs="Arial"/>
                <w:noProof/>
                <w:szCs w:val="18"/>
              </w:rPr>
            </w:pPr>
            <w:r>
              <w:rPr>
                <w:rFonts w:cs="Arial"/>
                <w:noProof/>
                <w:szCs w:val="18"/>
              </w:rPr>
              <w:t>№</w:t>
            </w:r>
          </w:p>
        </w:tc>
        <w:tc>
          <w:tcPr>
            <w:tcW w:w="6241" w:type="dxa"/>
            <w:vAlign w:val="center"/>
          </w:tcPr>
          <w:p w:rsidR="008B5DEF" w:rsidRPr="008B5DEF" w:rsidRDefault="008B5DEF" w:rsidP="00641B0F">
            <w:pPr>
              <w:spacing w:line="240" w:lineRule="auto"/>
              <w:jc w:val="center"/>
              <w:rPr>
                <w:rFonts w:cs="Arial"/>
                <w:noProof/>
                <w:szCs w:val="18"/>
                <w:lang w:val="en-US"/>
              </w:rPr>
            </w:pPr>
            <w:r>
              <w:rPr>
                <w:rFonts w:cs="Arial"/>
                <w:noProof/>
                <w:szCs w:val="18"/>
                <w:lang w:val="en-US"/>
              </w:rPr>
              <w:t>Names of materials and indicators</w:t>
            </w:r>
          </w:p>
        </w:tc>
        <w:tc>
          <w:tcPr>
            <w:tcW w:w="1872" w:type="dxa"/>
            <w:vAlign w:val="center"/>
          </w:tcPr>
          <w:p w:rsidR="008B5DEF" w:rsidRPr="008B5DEF" w:rsidRDefault="008B5DEF" w:rsidP="00641B0F">
            <w:pPr>
              <w:spacing w:line="240" w:lineRule="auto"/>
              <w:jc w:val="center"/>
              <w:rPr>
                <w:rFonts w:cs="Arial"/>
                <w:noProof/>
                <w:szCs w:val="18"/>
                <w:lang w:val="en-US"/>
              </w:rPr>
            </w:pPr>
            <w:r>
              <w:rPr>
                <w:rFonts w:cs="Arial"/>
                <w:noProof/>
                <w:szCs w:val="18"/>
                <w:lang w:val="en-US"/>
              </w:rPr>
              <w:t>Limit values</w:t>
            </w:r>
          </w:p>
        </w:tc>
      </w:tr>
      <w:tr w:rsidR="008B5DEF" w:rsidRPr="00CF253E" w:rsidTr="00641B0F">
        <w:trPr>
          <w:trHeight w:val="340"/>
        </w:trPr>
        <w:tc>
          <w:tcPr>
            <w:tcW w:w="563" w:type="dxa"/>
            <w:vAlign w:val="center"/>
          </w:tcPr>
          <w:p w:rsidR="008B5DEF" w:rsidRPr="008B5DEF" w:rsidRDefault="008B5DEF" w:rsidP="00150319">
            <w:pPr>
              <w:spacing w:line="240" w:lineRule="auto"/>
              <w:jc w:val="center"/>
              <w:rPr>
                <w:rFonts w:cs="Arial"/>
                <w:noProof/>
                <w:szCs w:val="18"/>
              </w:rPr>
            </w:pPr>
            <w:r>
              <w:rPr>
                <w:rFonts w:cs="Arial"/>
                <w:noProof/>
                <w:szCs w:val="18"/>
              </w:rPr>
              <w:t>1</w:t>
            </w:r>
          </w:p>
        </w:tc>
        <w:tc>
          <w:tcPr>
            <w:tcW w:w="6241" w:type="dxa"/>
            <w:vAlign w:val="center"/>
          </w:tcPr>
          <w:p w:rsidR="008B5DEF" w:rsidRPr="008B5DEF" w:rsidRDefault="008B5DEF" w:rsidP="00150319">
            <w:pPr>
              <w:spacing w:line="240" w:lineRule="auto"/>
              <w:rPr>
                <w:rFonts w:cs="Arial"/>
                <w:noProof/>
                <w:szCs w:val="18"/>
              </w:rPr>
            </w:pPr>
            <w:r>
              <w:rPr>
                <w:rFonts w:cs="Arial"/>
                <w:noProof/>
                <w:szCs w:val="18"/>
              </w:rPr>
              <w:t xml:space="preserve">Bitumen BN-P (BNK–40/160) </w:t>
            </w:r>
          </w:p>
          <w:p w:rsidR="008B5DEF" w:rsidRPr="008B5DEF" w:rsidRDefault="008B5DEF" w:rsidP="00150319">
            <w:pPr>
              <w:spacing w:line="240" w:lineRule="auto"/>
              <w:rPr>
                <w:rFonts w:cs="Arial"/>
                <w:noProof/>
                <w:szCs w:val="18"/>
                <w:lang w:val="en-US"/>
              </w:rPr>
            </w:pPr>
            <w:r>
              <w:rPr>
                <w:rFonts w:cs="Arial"/>
                <w:noProof/>
                <w:szCs w:val="18"/>
                <w:lang w:val="en-US"/>
              </w:rPr>
              <w:t xml:space="preserve">- Softening temperature, °C (Ring and Ball method) </w:t>
            </w:r>
          </w:p>
          <w:p w:rsidR="008B5DEF" w:rsidRPr="008B5DEF" w:rsidRDefault="008B5DEF" w:rsidP="00150319">
            <w:pPr>
              <w:spacing w:line="240" w:lineRule="auto"/>
              <w:rPr>
                <w:rFonts w:cs="Arial"/>
                <w:noProof/>
                <w:szCs w:val="18"/>
                <w:lang w:val="en-US"/>
              </w:rPr>
            </w:pPr>
            <w:r>
              <w:rPr>
                <w:rFonts w:cs="Arial"/>
                <w:noProof/>
                <w:szCs w:val="18"/>
                <w:lang w:val="en-US"/>
              </w:rPr>
              <w:t>- Penetration depth at 25°C, 0.1 mm</w:t>
            </w:r>
          </w:p>
        </w:tc>
        <w:tc>
          <w:tcPr>
            <w:tcW w:w="1872" w:type="dxa"/>
            <w:vAlign w:val="center"/>
          </w:tcPr>
          <w:p w:rsidR="008B5DEF" w:rsidRPr="008B5DEF" w:rsidRDefault="008B5DEF" w:rsidP="00150319">
            <w:pPr>
              <w:spacing w:line="240" w:lineRule="auto"/>
              <w:jc w:val="center"/>
              <w:rPr>
                <w:rFonts w:cs="Arial"/>
                <w:noProof/>
                <w:szCs w:val="18"/>
              </w:rPr>
            </w:pPr>
            <w:r>
              <w:rPr>
                <w:rFonts w:cs="Arial"/>
                <w:noProof/>
                <w:szCs w:val="18"/>
              </w:rPr>
              <w:t>38-44</w:t>
            </w:r>
          </w:p>
          <w:p w:rsidR="008B5DEF" w:rsidRPr="008B5DEF" w:rsidRDefault="008B5DEF" w:rsidP="00150319">
            <w:pPr>
              <w:spacing w:line="240" w:lineRule="auto"/>
              <w:jc w:val="center"/>
              <w:rPr>
                <w:rFonts w:cs="Arial"/>
                <w:noProof/>
                <w:szCs w:val="18"/>
              </w:rPr>
            </w:pPr>
            <w:r>
              <w:rPr>
                <w:rFonts w:cs="Arial"/>
                <w:noProof/>
                <w:szCs w:val="18"/>
              </w:rPr>
              <w:t>160-220</w:t>
            </w:r>
          </w:p>
        </w:tc>
      </w:tr>
      <w:tr w:rsidR="008B5DEF" w:rsidRPr="00CF253E" w:rsidTr="00641B0F">
        <w:trPr>
          <w:trHeight w:val="340"/>
        </w:trPr>
        <w:tc>
          <w:tcPr>
            <w:tcW w:w="563" w:type="dxa"/>
            <w:vAlign w:val="center"/>
          </w:tcPr>
          <w:p w:rsidR="008B5DEF" w:rsidRPr="008B5DEF" w:rsidRDefault="008B5DEF" w:rsidP="00150319">
            <w:pPr>
              <w:spacing w:line="240" w:lineRule="auto"/>
              <w:jc w:val="center"/>
              <w:rPr>
                <w:rFonts w:cs="Arial"/>
                <w:noProof/>
                <w:szCs w:val="18"/>
              </w:rPr>
            </w:pPr>
            <w:r>
              <w:rPr>
                <w:rFonts w:cs="Arial"/>
                <w:noProof/>
                <w:szCs w:val="18"/>
              </w:rPr>
              <w:t>2</w:t>
            </w:r>
          </w:p>
        </w:tc>
        <w:tc>
          <w:tcPr>
            <w:tcW w:w="6241" w:type="dxa"/>
            <w:vAlign w:val="center"/>
          </w:tcPr>
          <w:p w:rsidR="008B5DEF" w:rsidRPr="008B5DEF" w:rsidRDefault="008B5DEF" w:rsidP="00150319">
            <w:pPr>
              <w:spacing w:line="240" w:lineRule="auto"/>
              <w:rPr>
                <w:rFonts w:cs="Arial"/>
                <w:noProof/>
                <w:szCs w:val="18"/>
              </w:rPr>
            </w:pPr>
            <w:r>
              <w:rPr>
                <w:rFonts w:cs="Arial"/>
                <w:noProof/>
                <w:szCs w:val="18"/>
              </w:rPr>
              <w:t>Bitumen BNK-U (BNK–90/30)</w:t>
            </w:r>
          </w:p>
          <w:p w:rsidR="008B5DEF" w:rsidRPr="008B5DEF" w:rsidRDefault="008B5DEF" w:rsidP="00150319">
            <w:pPr>
              <w:spacing w:line="240" w:lineRule="auto"/>
              <w:rPr>
                <w:rFonts w:cs="Arial"/>
                <w:noProof/>
                <w:szCs w:val="18"/>
                <w:lang w:val="en-US"/>
              </w:rPr>
            </w:pPr>
            <w:r>
              <w:rPr>
                <w:rFonts w:cs="Arial"/>
                <w:noProof/>
                <w:szCs w:val="18"/>
                <w:lang w:val="en-US"/>
              </w:rPr>
              <w:t xml:space="preserve">- Softening temperature, °C (Ring and Ball method) </w:t>
            </w:r>
          </w:p>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 Penetration depth at 25°C, 0.1 mm</w:t>
            </w:r>
          </w:p>
        </w:tc>
        <w:tc>
          <w:tcPr>
            <w:tcW w:w="1872" w:type="dxa"/>
            <w:vAlign w:val="center"/>
          </w:tcPr>
          <w:p w:rsidR="008B5DEF" w:rsidRPr="008B5DEF" w:rsidRDefault="008B5DEF" w:rsidP="00150319">
            <w:pPr>
              <w:spacing w:line="240" w:lineRule="auto"/>
              <w:jc w:val="center"/>
              <w:rPr>
                <w:rFonts w:cs="Arial"/>
                <w:noProof/>
                <w:szCs w:val="18"/>
                <w:lang w:val="en-US"/>
              </w:rPr>
            </w:pPr>
          </w:p>
          <w:p w:rsidR="008B5DEF" w:rsidRPr="008B5DEF" w:rsidRDefault="008B5DEF" w:rsidP="00150319">
            <w:pPr>
              <w:spacing w:line="240" w:lineRule="auto"/>
              <w:jc w:val="center"/>
              <w:rPr>
                <w:rFonts w:cs="Arial"/>
                <w:noProof/>
                <w:szCs w:val="18"/>
              </w:rPr>
            </w:pPr>
            <w:r>
              <w:rPr>
                <w:rFonts w:cs="Arial"/>
                <w:noProof/>
                <w:szCs w:val="18"/>
              </w:rPr>
              <w:t>90-95</w:t>
            </w:r>
          </w:p>
          <w:p w:rsidR="008B5DEF" w:rsidRPr="008B5DEF" w:rsidRDefault="008B5DEF" w:rsidP="00150319">
            <w:pPr>
              <w:spacing w:line="240" w:lineRule="auto"/>
              <w:jc w:val="center"/>
              <w:rPr>
                <w:rFonts w:cs="Arial"/>
                <w:noProof/>
                <w:szCs w:val="18"/>
              </w:rPr>
            </w:pPr>
            <w:r>
              <w:rPr>
                <w:rFonts w:cs="Arial"/>
                <w:noProof/>
                <w:szCs w:val="18"/>
              </w:rPr>
              <w:t>18-20</w:t>
            </w:r>
          </w:p>
        </w:tc>
      </w:tr>
      <w:tr w:rsidR="008B5DEF" w:rsidRPr="00CF253E" w:rsidTr="00641B0F">
        <w:trPr>
          <w:trHeight w:val="340"/>
        </w:trPr>
        <w:tc>
          <w:tcPr>
            <w:tcW w:w="563" w:type="dxa"/>
            <w:vAlign w:val="center"/>
          </w:tcPr>
          <w:p w:rsidR="008B5DEF" w:rsidRPr="008B5DEF" w:rsidRDefault="008B5DEF" w:rsidP="00150319">
            <w:pPr>
              <w:spacing w:line="240" w:lineRule="auto"/>
              <w:jc w:val="center"/>
              <w:rPr>
                <w:rFonts w:cs="Arial"/>
                <w:noProof/>
                <w:szCs w:val="18"/>
              </w:rPr>
            </w:pPr>
            <w:r>
              <w:rPr>
                <w:rFonts w:cs="Arial"/>
                <w:noProof/>
                <w:szCs w:val="18"/>
              </w:rPr>
              <w:t>3</w:t>
            </w:r>
          </w:p>
        </w:tc>
        <w:tc>
          <w:tcPr>
            <w:tcW w:w="6241" w:type="dxa"/>
            <w:vAlign w:val="center"/>
          </w:tcPr>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Rubber crumb</w:t>
            </w:r>
          </w:p>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 Rubber crumb particle size (fineness)</w:t>
            </w:r>
          </w:p>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 Content of textile cord fiber, %</w:t>
            </w:r>
          </w:p>
        </w:tc>
        <w:tc>
          <w:tcPr>
            <w:tcW w:w="1872" w:type="dxa"/>
            <w:vAlign w:val="center"/>
          </w:tcPr>
          <w:p w:rsidR="008B5DEF" w:rsidRPr="008B5DEF" w:rsidRDefault="008B5DEF" w:rsidP="00150319">
            <w:pPr>
              <w:spacing w:line="240" w:lineRule="auto"/>
              <w:jc w:val="center"/>
              <w:rPr>
                <w:rFonts w:cs="Arial"/>
                <w:noProof/>
                <w:szCs w:val="18"/>
              </w:rPr>
            </w:pPr>
            <w:r>
              <w:rPr>
                <w:rFonts w:cs="Arial"/>
                <w:noProof/>
                <w:szCs w:val="18"/>
              </w:rPr>
              <w:t>not more than 1,2</w:t>
            </w:r>
          </w:p>
          <w:p w:rsidR="008B5DEF" w:rsidRPr="008B5DEF" w:rsidRDefault="008B5DEF" w:rsidP="00150319">
            <w:pPr>
              <w:spacing w:line="240" w:lineRule="auto"/>
              <w:jc w:val="center"/>
              <w:rPr>
                <w:rFonts w:cs="Arial"/>
                <w:noProof/>
                <w:szCs w:val="18"/>
              </w:rPr>
            </w:pPr>
            <w:r>
              <w:rPr>
                <w:rFonts w:cs="Arial"/>
                <w:noProof/>
                <w:szCs w:val="18"/>
              </w:rPr>
              <w:t>3-5</w:t>
            </w:r>
          </w:p>
        </w:tc>
      </w:tr>
      <w:tr w:rsidR="008B5DEF" w:rsidRPr="00CF253E" w:rsidTr="00641B0F">
        <w:trPr>
          <w:trHeight w:val="340"/>
        </w:trPr>
        <w:tc>
          <w:tcPr>
            <w:tcW w:w="563" w:type="dxa"/>
            <w:vAlign w:val="center"/>
          </w:tcPr>
          <w:p w:rsidR="008B5DEF" w:rsidRPr="008B5DEF" w:rsidRDefault="008B5DEF" w:rsidP="00150319">
            <w:pPr>
              <w:spacing w:line="240" w:lineRule="auto"/>
              <w:jc w:val="center"/>
              <w:rPr>
                <w:rFonts w:cs="Arial"/>
                <w:noProof/>
                <w:szCs w:val="18"/>
              </w:rPr>
            </w:pPr>
            <w:r>
              <w:rPr>
                <w:rFonts w:cs="Arial"/>
                <w:noProof/>
                <w:szCs w:val="18"/>
              </w:rPr>
              <w:t>4</w:t>
            </w:r>
          </w:p>
        </w:tc>
        <w:tc>
          <w:tcPr>
            <w:tcW w:w="6241" w:type="dxa"/>
            <w:vAlign w:val="center"/>
          </w:tcPr>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Mineral filler (cement dust)</w:t>
            </w:r>
          </w:p>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 Moisture content, %</w:t>
            </w:r>
          </w:p>
          <w:p w:rsidR="008B5DEF" w:rsidRPr="008B5DEF" w:rsidRDefault="008B5DEF" w:rsidP="00150319">
            <w:pPr>
              <w:pStyle w:val="FR2"/>
              <w:spacing w:line="240" w:lineRule="auto"/>
              <w:rPr>
                <w:rFonts w:ascii="Arial" w:hAnsi="Arial" w:cs="Arial"/>
                <w:noProof/>
                <w:sz w:val="18"/>
                <w:szCs w:val="18"/>
                <w:lang w:val="en-US"/>
              </w:rPr>
            </w:pPr>
            <w:r>
              <w:rPr>
                <w:rFonts w:ascii="Arial" w:hAnsi="Arial" w:cs="Arial"/>
                <w:noProof/>
                <w:sz w:val="18"/>
                <w:szCs w:val="18"/>
                <w:lang w:val="en-US"/>
              </w:rPr>
              <w:t>- Residue on sieve No. 009, %</w:t>
            </w:r>
          </w:p>
        </w:tc>
        <w:tc>
          <w:tcPr>
            <w:tcW w:w="1872" w:type="dxa"/>
            <w:vAlign w:val="center"/>
          </w:tcPr>
          <w:p w:rsidR="008B5DEF" w:rsidRPr="008B5DEF" w:rsidRDefault="008B5DEF" w:rsidP="00150319">
            <w:pPr>
              <w:spacing w:line="240" w:lineRule="auto"/>
              <w:jc w:val="center"/>
              <w:rPr>
                <w:rFonts w:cs="Arial"/>
                <w:noProof/>
                <w:szCs w:val="18"/>
              </w:rPr>
            </w:pPr>
            <w:r>
              <w:rPr>
                <w:rFonts w:cs="Arial"/>
                <w:noProof/>
                <w:szCs w:val="18"/>
              </w:rPr>
              <w:t>not more than 1,0</w:t>
            </w:r>
          </w:p>
          <w:p w:rsidR="008B5DEF" w:rsidRPr="008B5DEF" w:rsidRDefault="008B5DEF" w:rsidP="00150319">
            <w:pPr>
              <w:spacing w:line="240" w:lineRule="auto"/>
              <w:jc w:val="center"/>
              <w:rPr>
                <w:rFonts w:cs="Arial"/>
                <w:noProof/>
                <w:szCs w:val="18"/>
              </w:rPr>
            </w:pPr>
            <w:r>
              <w:rPr>
                <w:rFonts w:cs="Arial"/>
                <w:noProof/>
                <w:szCs w:val="18"/>
              </w:rPr>
              <w:t>2-10</w:t>
            </w:r>
          </w:p>
        </w:tc>
      </w:tr>
    </w:tbl>
    <w:p w:rsidR="00BD6185" w:rsidRDefault="00BD6185" w:rsidP="007D0951">
      <w:pPr>
        <w:pStyle w:val="CETListbullets"/>
        <w:ind w:firstLine="0"/>
      </w:pPr>
    </w:p>
    <w:p w:rsidR="00EB0FE0" w:rsidRPr="007B667D" w:rsidRDefault="007B667D" w:rsidP="0049067C">
      <w:pPr>
        <w:pStyle w:val="CETListbullets"/>
        <w:ind w:left="0" w:firstLine="0"/>
        <w:rPr>
          <w:rFonts w:cs="Arial"/>
          <w:szCs w:val="18"/>
          <w:lang w:val="en-US"/>
        </w:rPr>
      </w:pPr>
      <w:r w:rsidRPr="007B667D">
        <w:rPr>
          <w:rFonts w:cs="Arial"/>
          <w:szCs w:val="18"/>
        </w:rPr>
        <w:t xml:space="preserve">The production of the rubber-bitumen composition (RBC) followed a specialized thermomechanical protocol designed to optimize the dissolution of the elastomer within the bitumen medium. In this case, the rubber crumb was pre-dissolved in the BNK-40/160 binder at elevated temperatures ranging from 210°C to 230°C. Preliminary experiments focused on </w:t>
      </w:r>
      <w:proofErr w:type="spellStart"/>
      <w:r w:rsidRPr="007B667D">
        <w:rPr>
          <w:rFonts w:cs="Arial"/>
          <w:szCs w:val="18"/>
        </w:rPr>
        <w:t>analyzing</w:t>
      </w:r>
      <w:proofErr w:type="spellEnd"/>
      <w:r w:rsidRPr="007B667D">
        <w:rPr>
          <w:rFonts w:cs="Arial"/>
          <w:szCs w:val="18"/>
        </w:rPr>
        <w:t xml:space="preserve"> the dissolution dynamics at concentrations of 20.0% and 30.0% to determine the saturation threshold of the polymer-bitumen matrix. Homogenization of the rubber crumb, cement dust and basalt </w:t>
      </w:r>
      <w:proofErr w:type="spellStart"/>
      <w:r w:rsidRPr="007B667D">
        <w:rPr>
          <w:rFonts w:cs="Arial"/>
          <w:szCs w:val="18"/>
        </w:rPr>
        <w:t>fibers</w:t>
      </w:r>
      <w:proofErr w:type="spellEnd"/>
      <w:r w:rsidRPr="007B667D">
        <w:rPr>
          <w:rFonts w:cs="Arial"/>
          <w:szCs w:val="18"/>
        </w:rPr>
        <w:t xml:space="preserve"> was carried out in a thermostatically controlled vessel fitted with an overhead stirrer operating at 500 rpm, under continuous temperature control (±2°C).</w:t>
      </w:r>
    </w:p>
    <w:p w:rsidR="00EB0FE0" w:rsidRPr="00B426B5" w:rsidRDefault="003F4784" w:rsidP="0049067C">
      <w:pPr>
        <w:pStyle w:val="CETListbullets"/>
        <w:ind w:left="0" w:firstLine="0"/>
        <w:rPr>
          <w:rFonts w:cs="Arial"/>
          <w:szCs w:val="18"/>
          <w:lang w:val="en-US"/>
        </w:rPr>
      </w:pPr>
      <w:r>
        <w:rPr>
          <w:lang w:val="en-US"/>
        </w:rPr>
        <w:t xml:space="preserve">All experimental formulations were prepared under identical laboratory conditions using a thermostatically controlled reaction vessel equipped with a mechanical stirrer to ensure homogeneous dispersion of the rubber crumb, cement dust and basalt fibers within the bitumen matrix, with the rubber crumb pre-dried before mixing to eliminate residual moisture. The softening temperature of every formulation (Tables 2–4) was determined by the Ring and Ball method in accordance with GOST 11506-73, the brittleness temperature by the Fraass method in accordance with GOST 11507-78, and the tensile strength, elongation at break, flexibility, heat resistance and water absorption of the resulting compositions were evaluated in accordance with GOST 2678-94. All </w:t>
      </w:r>
      <w:r>
        <w:rPr>
          <w:lang w:val="en-US"/>
        </w:rPr>
        <w:lastRenderedPageBreak/>
        <w:t xml:space="preserve">determinations were carried out in triplicate, and the values reported represent the arithmetic mean of the parallel measurements; in every case the discrepancy between parallel determinations remained within the tolerance </w:t>
      </w:r>
      <w:r w:rsidRPr="00B426B5">
        <w:rPr>
          <w:rFonts w:cs="Arial"/>
          <w:szCs w:val="18"/>
          <w:lang w:val="en-US"/>
        </w:rPr>
        <w:t>permitted by the corresponding standard (≤ 2 °C for softening-point values above 80 °C, per GOST 11506-73).</w:t>
      </w:r>
      <w:r w:rsidRPr="00B426B5">
        <w:rPr>
          <w:rFonts w:cs="Arial"/>
          <w:color w:val="1F4E79"/>
          <w:szCs w:val="18"/>
        </w:rPr>
        <w:t xml:space="preserve"> </w:t>
      </w:r>
      <w:r w:rsidR="00B426B5" w:rsidRPr="00B426B5">
        <w:rPr>
          <w:rFonts w:cs="Arial"/>
          <w:szCs w:val="18"/>
        </w:rPr>
        <w:t xml:space="preserve">Test specimens for the tensile-strength, elongation-at-break, flexibility and water-absorption determinations were cut to strips measuring 50 × 200 mm (width × length), in accordance with the standard dimensions specified in GOST 2678-94, and conditioned at (20 ± </w:t>
      </w:r>
      <w:proofErr w:type="gramStart"/>
      <w:r w:rsidR="00B426B5" w:rsidRPr="00B426B5">
        <w:rPr>
          <w:rFonts w:cs="Arial"/>
          <w:szCs w:val="18"/>
        </w:rPr>
        <w:t>2)°</w:t>
      </w:r>
      <w:proofErr w:type="gramEnd"/>
      <w:r w:rsidR="00B426B5" w:rsidRPr="00B426B5">
        <w:rPr>
          <w:rFonts w:cs="Arial"/>
          <w:szCs w:val="18"/>
        </w:rPr>
        <w:t>C for 24 h prior to testing. Because the differences between formulations reported in Tables 2 and 3 (typically 4–66°C) substantially exceed the ±2°C tolerance stated above, the observed trends are considered statistically meaningful rather than artefacts of experimental scatter.</w:t>
      </w:r>
    </w:p>
    <w:p w:rsidR="0049067C" w:rsidRPr="0049067C" w:rsidRDefault="0049067C" w:rsidP="0049067C">
      <w:pPr>
        <w:pStyle w:val="CETHeading1"/>
      </w:pPr>
      <w:r>
        <w:t>Results and Discussion</w:t>
      </w:r>
    </w:p>
    <w:p w:rsidR="006802A3" w:rsidRDefault="003F4784" w:rsidP="0049067C">
      <w:pPr>
        <w:pStyle w:val="CETListbullets"/>
        <w:spacing w:before="240"/>
        <w:ind w:left="0" w:firstLine="0"/>
        <w:rPr>
          <w:lang w:val="en-US"/>
        </w:rPr>
      </w:pPr>
      <w:r>
        <w:rPr>
          <w:lang w:val="en-US"/>
        </w:rPr>
        <w:t>Following the initial dissolution phase, the resulting RBC was diluted with the more viscous BNK-90/30 grade to balance the penetration and softening properties. A secondary experimental path involved the creation of a bitumen compound (blend) utilizing both BNK-40/160 and BNK-90/30, where the initial softening temperature of the solvent bitumen was maintained between 73°C and 79°C. This blending technique ensured a more homogeneous distribution of the modifiers and fillers throughout the composite.  The investigation revealed that the thermomechanical degradation of the rubber crumb for a duration of 3 hours in the BNK-II bitumen significantly improved the heat resistance of the mixture. Specifically, at a 30% concentration of rubber crumb, the softening temperature ascended to approximately 82°C. The integration of 20% mineral filler further elevated the softening point to the 86–88°C range. The most substantial improvement was observed upon the addition of basalt fibers for structural reinforcement. This addition resulted in a dramatic increase in the softening temperature, reaching a peak of 140°C. These advanced film-bitumen composites demonstrated exceptional flexibility, maintaining structural integrity without cracking at temperatures as low as -15°C. Such characteristics render these materials highly suitable for both hydraulic insulation in construction and vibration damping in the automotive industry.</w:t>
      </w:r>
    </w:p>
    <w:p w:rsidR="006802A3" w:rsidRDefault="006802A3" w:rsidP="0049067C">
      <w:pPr>
        <w:pStyle w:val="CETListbullets"/>
        <w:ind w:left="0" w:firstLine="0"/>
        <w:rPr>
          <w:noProof/>
          <w:lang w:val="en-US"/>
        </w:rPr>
      </w:pPr>
      <w:r>
        <w:rPr>
          <w:noProof/>
          <w:lang w:val="en-US"/>
        </w:rPr>
        <w:t>In addition, as a polymer modifier (alongside rubber crumb), the widely used foreign product “Koryflex–R” (Kraton), manufactured by the Anglo-Dutch company “Shell,” was also employed.</w:t>
      </w:r>
    </w:p>
    <w:p w:rsidR="006802A3" w:rsidRPr="006802A3" w:rsidRDefault="006802A3" w:rsidP="0049067C">
      <w:pPr>
        <w:pStyle w:val="CETListbullets"/>
        <w:ind w:left="0" w:firstLine="0"/>
        <w:jc w:val="right"/>
        <w:rPr>
          <w:lang w:val="en-US"/>
        </w:rPr>
      </w:pPr>
      <w:r>
        <w:rPr>
          <w:lang w:val="en-US"/>
        </w:rPr>
        <w:t>Table No. 2</w:t>
      </w:r>
    </w:p>
    <w:p w:rsidR="006802A3" w:rsidRDefault="006802A3" w:rsidP="0049067C">
      <w:pPr>
        <w:pStyle w:val="CETListbullets"/>
        <w:ind w:left="0" w:firstLine="0"/>
        <w:jc w:val="center"/>
        <w:rPr>
          <w:lang w:val="en-US"/>
        </w:rPr>
      </w:pPr>
      <w:r>
        <w:rPr>
          <w:lang w:val="en-US"/>
        </w:rPr>
        <w:t>Composition and physical-mechanical properties of the rubber-bitumen film composition</w:t>
      </w:r>
    </w:p>
    <w:p w:rsidR="006802A3" w:rsidRDefault="006802A3" w:rsidP="006802A3">
      <w:pPr>
        <w:pStyle w:val="CETListbullets"/>
        <w:ind w:left="113" w:firstLine="0"/>
        <w:rPr>
          <w:lang w:val="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3"/>
        <w:gridCol w:w="6300"/>
        <w:gridCol w:w="1967"/>
      </w:tblGrid>
      <w:tr w:rsidR="006802A3" w:rsidRPr="006802A3" w:rsidTr="00EB0FE0">
        <w:trPr>
          <w:trHeight w:val="340"/>
        </w:trPr>
        <w:tc>
          <w:tcPr>
            <w:tcW w:w="373" w:type="dxa"/>
            <w:vAlign w:val="center"/>
          </w:tcPr>
          <w:p w:rsidR="006802A3" w:rsidRPr="002A4A41" w:rsidRDefault="006802A3" w:rsidP="00150319">
            <w:pPr>
              <w:pStyle w:val="FR2"/>
              <w:spacing w:line="240" w:lineRule="auto"/>
              <w:jc w:val="center"/>
              <w:rPr>
                <w:rFonts w:ascii="Arial" w:hAnsi="Arial" w:cs="Arial"/>
                <w:noProof/>
                <w:sz w:val="18"/>
                <w:szCs w:val="18"/>
              </w:rPr>
            </w:pPr>
            <w:r w:rsidRPr="002A4A41">
              <w:rPr>
                <w:rFonts w:ascii="Arial" w:hAnsi="Arial" w:cs="Arial"/>
                <w:noProof/>
                <w:sz w:val="18"/>
                <w:szCs w:val="18"/>
              </w:rPr>
              <w:t>№</w:t>
            </w:r>
          </w:p>
        </w:tc>
        <w:tc>
          <w:tcPr>
            <w:tcW w:w="6300" w:type="dxa"/>
            <w:vAlign w:val="center"/>
          </w:tcPr>
          <w:p w:rsidR="006802A3" w:rsidRPr="002A4A41" w:rsidRDefault="006802A3" w:rsidP="00150319">
            <w:pPr>
              <w:pStyle w:val="FR2"/>
              <w:spacing w:line="240" w:lineRule="auto"/>
              <w:jc w:val="center"/>
              <w:rPr>
                <w:rFonts w:ascii="Arial" w:hAnsi="Arial" w:cs="Arial"/>
                <w:noProof/>
                <w:sz w:val="18"/>
                <w:szCs w:val="18"/>
              </w:rPr>
            </w:pPr>
            <w:r w:rsidRPr="002A4A41">
              <w:rPr>
                <w:rFonts w:ascii="Arial" w:hAnsi="Arial" w:cs="Arial"/>
                <w:sz w:val="18"/>
                <w:szCs w:val="18"/>
              </w:rPr>
              <w:t>Composition</w:t>
            </w:r>
          </w:p>
        </w:tc>
        <w:tc>
          <w:tcPr>
            <w:tcW w:w="1967" w:type="dxa"/>
          </w:tcPr>
          <w:p w:rsidR="006802A3" w:rsidRPr="002A4A41" w:rsidRDefault="006802A3" w:rsidP="00150319">
            <w:pPr>
              <w:pStyle w:val="FR2"/>
              <w:spacing w:line="240" w:lineRule="auto"/>
              <w:jc w:val="center"/>
              <w:rPr>
                <w:rFonts w:ascii="Arial" w:hAnsi="Arial" w:cs="Arial"/>
                <w:noProof/>
                <w:sz w:val="18"/>
                <w:szCs w:val="18"/>
                <w:lang w:val="en-US"/>
              </w:rPr>
            </w:pPr>
            <w:r w:rsidRPr="002A4A41">
              <w:rPr>
                <w:rFonts w:ascii="Arial" w:hAnsi="Arial" w:cs="Arial"/>
                <w:noProof/>
                <w:sz w:val="18"/>
                <w:szCs w:val="18"/>
                <w:lang w:val="en-US"/>
              </w:rPr>
              <w:t>Softening temperature, °C (Ring and Ball method)</w:t>
            </w:r>
          </w:p>
        </w:tc>
      </w:tr>
      <w:tr w:rsidR="006802A3" w:rsidRPr="006802A3" w:rsidTr="00EB0FE0">
        <w:trPr>
          <w:cantSplit/>
          <w:trHeight w:val="340"/>
        </w:trPr>
        <w:tc>
          <w:tcPr>
            <w:tcW w:w="8640" w:type="dxa"/>
            <w:gridSpan w:val="3"/>
          </w:tcPr>
          <w:p w:rsidR="006802A3" w:rsidRPr="006802A3" w:rsidRDefault="006802A3" w:rsidP="00150319">
            <w:pPr>
              <w:pStyle w:val="FR2"/>
              <w:spacing w:line="240" w:lineRule="auto"/>
              <w:jc w:val="center"/>
              <w:rPr>
                <w:rFonts w:ascii="Arial" w:hAnsi="Arial" w:cs="Arial"/>
                <w:b/>
                <w:bCs/>
                <w:noProof/>
                <w:sz w:val="18"/>
                <w:szCs w:val="18"/>
              </w:rPr>
            </w:pPr>
            <w:r>
              <w:rPr>
                <w:rFonts w:ascii="Arial" w:hAnsi="Arial" w:cs="Arial"/>
                <w:sz w:val="18"/>
                <w:szCs w:val="18"/>
              </w:rPr>
              <w:t>Experiment 1</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BNK-II – 70.0%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Rubber crumb</w:t>
            </w:r>
            <w:r>
              <w:rPr>
                <w:rFonts w:ascii="Arial" w:hAnsi="Arial" w:cs="Arial"/>
                <w:noProof/>
                <w:sz w:val="18"/>
                <w:szCs w:val="18"/>
              </w:rPr>
              <w:t xml:space="preserve"> –30,0%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noProof/>
                <w:sz w:val="18"/>
                <w:szCs w:val="18"/>
                <w:lang w:val="en-US"/>
              </w:rPr>
              <w:t>RBC after thermomechanical degradation of rubber crumb for 3 hours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82,0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filler (cement dust) to RBC – 20%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87,0</w:t>
            </w:r>
          </w:p>
        </w:tc>
      </w:tr>
      <w:tr w:rsidR="006802A3" w:rsidRPr="006802A3" w:rsidTr="00EB0FE0">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2</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 xml:space="preserve">BNK-II </w:t>
            </w:r>
            <w:r>
              <w:rPr>
                <w:rFonts w:ascii="Arial" w:hAnsi="Arial" w:cs="Arial"/>
                <w:noProof/>
                <w:sz w:val="18"/>
                <w:szCs w:val="18"/>
              </w:rPr>
              <w:t>–55,0%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–45,0%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Mixture of BNK-II and BNK-V (compound)</w:t>
            </w:r>
            <w:r>
              <w:rPr>
                <w:rFonts w:ascii="Arial" w:hAnsi="Arial" w:cs="Arial"/>
                <w:noProof/>
                <w:sz w:val="18"/>
                <w:szCs w:val="18"/>
                <w:lang w:val="en-US"/>
              </w:rPr>
              <w:t>-70%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73,0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Rubber crumb</w:t>
            </w:r>
            <w:r>
              <w:rPr>
                <w:rFonts w:ascii="Arial" w:hAnsi="Arial" w:cs="Arial"/>
                <w:noProof/>
                <w:sz w:val="18"/>
                <w:szCs w:val="18"/>
              </w:rPr>
              <w:t xml:space="preserve"> -30%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5</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Thermomechanical degradation of rubber crumb for 3 hours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114,0</w:t>
            </w:r>
          </w:p>
        </w:tc>
      </w:tr>
      <w:tr w:rsidR="006802A3" w:rsidRPr="006802A3" w:rsidTr="00EB0FE0">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3</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-50,0%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-50,0%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Compound</w:t>
            </w:r>
            <w:r>
              <w:rPr>
                <w:rFonts w:ascii="Arial" w:hAnsi="Arial" w:cs="Arial"/>
                <w:noProof/>
                <w:sz w:val="18"/>
                <w:szCs w:val="18"/>
              </w:rPr>
              <w:t xml:space="preserve">  -75,0%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76,0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lastRenderedPageBreak/>
              <w:t>4</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Rubber crumb</w:t>
            </w:r>
            <w:r>
              <w:rPr>
                <w:rFonts w:ascii="Arial" w:hAnsi="Arial" w:cs="Arial"/>
                <w:noProof/>
                <w:sz w:val="18"/>
                <w:szCs w:val="18"/>
              </w:rPr>
              <w:t xml:space="preserve"> -25,0%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5</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Thermomechanical degradation of rubber crumb for 3 hours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118,0</w:t>
            </w:r>
          </w:p>
        </w:tc>
      </w:tr>
      <w:tr w:rsidR="006802A3" w:rsidRPr="006802A3" w:rsidTr="00EB0FE0">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4</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-45,0%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-55,0%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Compound</w:t>
            </w:r>
            <w:r>
              <w:rPr>
                <w:rFonts w:ascii="Arial" w:hAnsi="Arial" w:cs="Arial"/>
                <w:noProof/>
                <w:sz w:val="18"/>
                <w:szCs w:val="18"/>
              </w:rPr>
              <w:t xml:space="preserve">  -70,0%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79,0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Rubber crumb</w:t>
            </w:r>
            <w:r>
              <w:rPr>
                <w:rFonts w:ascii="Arial" w:hAnsi="Arial" w:cs="Arial"/>
                <w:noProof/>
                <w:sz w:val="18"/>
                <w:szCs w:val="18"/>
              </w:rPr>
              <w:t xml:space="preserve"> -30,0%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5</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Thermomechanical degradation of rubber crumb for 3 hours and preparation of RBC (rubber-bitumen composition).</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126,0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6</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filler (cement dust) – 10.0% and mixing for 30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130,0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7</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Addition of basalt – 3.0%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135,0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8</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Additional addition of basalt – 2.0% and mixing for 30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140,0</w:t>
            </w:r>
          </w:p>
        </w:tc>
      </w:tr>
      <w:tr w:rsidR="006802A3" w:rsidRPr="006802A3" w:rsidTr="00EB0FE0">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lang w:val="en-US"/>
              </w:rPr>
              <w:t>Experiment 5</w:t>
            </w:r>
            <w:r>
              <w:rPr>
                <w:rFonts w:ascii="Arial" w:hAnsi="Arial" w:cs="Arial"/>
                <w:b/>
                <w:bCs/>
                <w:noProof/>
                <w:sz w:val="18"/>
                <w:szCs w:val="18"/>
                <w:lang w:val="en-US"/>
              </w:rPr>
              <w:t xml:space="preserve"> </w:t>
            </w:r>
            <w:r>
              <w:rPr>
                <w:rFonts w:ascii="Arial" w:hAnsi="Arial" w:cs="Arial"/>
                <w:sz w:val="18"/>
                <w:szCs w:val="18"/>
                <w:lang w:val="en-US"/>
              </w:rPr>
              <w:t>(Mixture of RBC and Kraton)</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-55,0%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-45,0%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Compound</w:t>
            </w:r>
            <w:r>
              <w:rPr>
                <w:rFonts w:ascii="Arial" w:hAnsi="Arial" w:cs="Arial"/>
                <w:noProof/>
                <w:sz w:val="18"/>
                <w:szCs w:val="18"/>
              </w:rPr>
              <w:t xml:space="preserve"> -90,0%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73,0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“Kraton” – 10% and mixing for 30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112,0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5</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filler (cement dust) – 10.0% and mixing for 30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120,0</w:t>
            </w:r>
          </w:p>
        </w:tc>
      </w:tr>
      <w:tr w:rsidR="006802A3" w:rsidRPr="006802A3" w:rsidTr="00EB0FE0">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lang w:val="en-US"/>
              </w:rPr>
              <w:t>Experiment 6 (Mixture of RBC and Kraton)</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30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-90,0%</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48,0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Rubber crumb – 10.0% and thermomechanical degradation for 3 hours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60,0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“Kraton” – 10.0% and mixing for 30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120,0</w:t>
            </w:r>
          </w:p>
        </w:tc>
      </w:tr>
      <w:tr w:rsidR="006802A3" w:rsidRPr="006802A3" w:rsidTr="00EB0FE0">
        <w:trPr>
          <w:trHeight w:val="340"/>
        </w:trPr>
        <w:tc>
          <w:tcPr>
            <w:tcW w:w="373"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300"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filler (cement dust) – 20.0% and mixing for 20 minutes.</w:t>
            </w:r>
          </w:p>
        </w:tc>
        <w:tc>
          <w:tcPr>
            <w:tcW w:w="1967"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126,0</w:t>
            </w:r>
          </w:p>
        </w:tc>
      </w:tr>
    </w:tbl>
    <w:p w:rsidR="006802A3" w:rsidRDefault="00CD59A3" w:rsidP="0049067C">
      <w:pPr>
        <w:pStyle w:val="CETListbullets"/>
        <w:ind w:left="0" w:firstLine="0"/>
        <w:rPr>
          <w:lang w:val="en-US"/>
        </w:rPr>
      </w:pPr>
      <w:r>
        <w:rPr>
          <w:lang w:val="en-US"/>
        </w:rPr>
        <w:t>The experimental data presented in Table No. 2 serves as a foundational pillar for understanding the thermal stability and phase transformations of modified bituminous composites. This analysis illustrates the dynamic shifts in the softening temperature (Ts), measured via the Ring and Ball method, as a function of various additives and processing durations. A critical observation from the first experimental series indicates that subjecting BNK-II bitumen to 30% rubber crumb and a three-hour thermomechanical degradation process elevates the softening point from an initial 48.0°C to 82.0°C. While the subsequent addition of 20% cement dust as a mineral filler further increases this value to 87.0°C, these parameters are considered insufficient for the production of high-performance polymer-bitumen film materials without further reinforcement.  The research further explores the efficacy of utilizing bitumen compounds (blends) of BNK-II and BNK-V to establish a higher thermal baseline. By adjusting the ratio of these grades, the softening temperature of the solvent bitumen was optimized to a range of 73–79°C. The most significant breakthrough in thermal resilience was achieved in Experiment 4, where the integration of 3–5% fibrous basalt for structural reinforcement pushed the softening temperature to a peak of 140.0°C. This massive increase demonstrates that basalt fibers provide a critical stabilizing framework that prevents layer displacement and bubbling under extreme thermal loads.  Furthermore, comparative analysis with the foreign synthetic modifier "Kraton" (Koryflex-R) indicates that locally processed rubber-bitumen compositions (RBC) achieve competitive performance levels. For instance, hybrid formulations combining both rubber crumb and synthetic polymers reached softening points between 112°C and 126°C, validating the potential for import substitution using domestic industrial waste. These numerical results substantiate the practical viability of the "Elastorid" material, which maintains flexibility at -15°C and exhibits minimal water absorption (1.0–1.2%), making it an ideal candidate for both architectural waterproofing and vibration damping in the automotive industry.</w:t>
      </w:r>
    </w:p>
    <w:p w:rsidR="00EB0FE0" w:rsidRDefault="003F4784" w:rsidP="0049067C">
      <w:pPr>
        <w:pStyle w:val="CETListbullets"/>
        <w:ind w:left="0" w:firstLine="0"/>
        <w:rPr>
          <w:lang w:val="en-US"/>
        </w:rPr>
      </w:pPr>
      <w:r>
        <w:rPr>
          <w:lang w:val="en-US"/>
        </w:rPr>
        <w:t xml:space="preserve">The thermal stabilization observed upon thermomechanical treatment of the rubber crumb is consistent with the swelling and partial devulcanization mechanism widely reported for crumb-rubber-modified bitumen, whereby the aromatic and resin fractions of the bitumen diffuse into the cross-linked rubber network, causing the particles </w:t>
      </w:r>
      <w:r>
        <w:rPr>
          <w:lang w:val="en-US"/>
        </w:rPr>
        <w:lastRenderedPageBreak/>
        <w:t>to swell and subsequently interact with the surrounding binder to form a more elastic, thermally stable matrix (Zhu et al., 2022). A comparable stabilizing effect has been reported for composite systems combining crumb rubber with synthetic elastomers such as SBS, in which the interpenetrating polymer network improves both high-temperature stiffness and ageing resistance (Xu et al., 2021); the present results, in which the RBC/Kraton hybrid formulations reached softening points of 112–126 °C, are in good agreement with this trend and confirm that locally sourced rubber crumb can replace a substantial share of the imported synthetic modifier without loss of performance.</w:t>
      </w:r>
    </w:p>
    <w:p w:rsidR="00EB0FE0" w:rsidRDefault="003F4784" w:rsidP="0049067C">
      <w:pPr>
        <w:pStyle w:val="CETListbullets"/>
        <w:ind w:left="0" w:firstLine="0"/>
        <w:rPr>
          <w:lang w:val="en-US"/>
        </w:rPr>
      </w:pPr>
      <w:r>
        <w:rPr>
          <w:lang w:val="en-US"/>
        </w:rPr>
        <w:t>The pronounced increase in softening temperature following basalt fiber incorporation (from 130 °C to 140 °C after the successive addition of 3.0% and a further 2.0% basalt) is attributable to the fiber-bridging and network-reinforcement effect described in recent studies of basalt-fiber-modified bituminous materials, in which randomly dispersed basalt filaments restrict the mobility of the bitumen matrix at elevated temperature and arrest crack propagation, thereby raising both the softening point and the resistance to permanent deformation (Shi et al., 2023; Ji et al., 2024). This mechanism explains why a comparatively small addition of basalt fiber (3–5% by mass) produces a disproportionately large improvement in thermal performance relative to the mineral filler alone, and is consistent with the blending-parameter optimization trends reported for crumb-rubber-modified bitumen in the wider international literature (Memon et al., 2025).</w:t>
      </w:r>
    </w:p>
    <w:p w:rsidR="006802A3" w:rsidRPr="006802A3" w:rsidRDefault="006802A3" w:rsidP="0049067C">
      <w:pPr>
        <w:pStyle w:val="CETListbullets"/>
        <w:ind w:left="0"/>
        <w:jc w:val="right"/>
        <w:rPr>
          <w:lang w:val="en-US"/>
        </w:rPr>
      </w:pPr>
      <w:r>
        <w:rPr>
          <w:lang w:val="en-US"/>
        </w:rPr>
        <w:t>Table No. 3</w:t>
      </w:r>
    </w:p>
    <w:p w:rsidR="006802A3" w:rsidRDefault="006802A3" w:rsidP="0049067C">
      <w:pPr>
        <w:pStyle w:val="CETListbullets"/>
        <w:ind w:left="0" w:firstLine="0"/>
        <w:jc w:val="center"/>
        <w:rPr>
          <w:lang w:val="en-US"/>
        </w:rPr>
      </w:pPr>
      <w:r>
        <w:rPr>
          <w:lang w:val="en-US"/>
        </w:rPr>
        <w:t>Composition and physical-mechanical properties of polymer-bitumen film compositions using the polymer modifier “Kraton”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
        <w:gridCol w:w="6251"/>
        <w:gridCol w:w="1979"/>
      </w:tblGrid>
      <w:tr w:rsidR="006802A3" w:rsidRPr="00E25902" w:rsidTr="0049067C">
        <w:trPr>
          <w:trHeight w:val="340"/>
        </w:trPr>
        <w:tc>
          <w:tcPr>
            <w:tcW w:w="380" w:type="dxa"/>
            <w:vAlign w:val="center"/>
          </w:tcPr>
          <w:p w:rsidR="006802A3" w:rsidRPr="008A06E1" w:rsidRDefault="006802A3" w:rsidP="00150319">
            <w:pPr>
              <w:pStyle w:val="FR2"/>
              <w:spacing w:line="240" w:lineRule="auto"/>
              <w:jc w:val="center"/>
              <w:rPr>
                <w:rFonts w:ascii="Arial" w:hAnsi="Arial" w:cs="Arial"/>
                <w:noProof/>
                <w:sz w:val="18"/>
                <w:szCs w:val="18"/>
              </w:rPr>
            </w:pPr>
            <w:bookmarkStart w:id="2" w:name="_GoBack" w:colFirst="0" w:colLast="2"/>
            <w:r w:rsidRPr="008A06E1">
              <w:rPr>
                <w:rFonts w:ascii="Arial" w:hAnsi="Arial" w:cs="Arial"/>
                <w:noProof/>
                <w:sz w:val="18"/>
                <w:szCs w:val="18"/>
              </w:rPr>
              <w:t>№</w:t>
            </w:r>
          </w:p>
        </w:tc>
        <w:tc>
          <w:tcPr>
            <w:tcW w:w="6277" w:type="dxa"/>
            <w:vAlign w:val="center"/>
          </w:tcPr>
          <w:p w:rsidR="006802A3" w:rsidRPr="008A06E1" w:rsidRDefault="006802A3" w:rsidP="00150319">
            <w:pPr>
              <w:pStyle w:val="FR2"/>
              <w:spacing w:line="240" w:lineRule="auto"/>
              <w:jc w:val="center"/>
              <w:rPr>
                <w:rFonts w:ascii="Arial" w:hAnsi="Arial" w:cs="Arial"/>
                <w:noProof/>
                <w:sz w:val="18"/>
                <w:szCs w:val="18"/>
              </w:rPr>
            </w:pPr>
            <w:r w:rsidRPr="008A06E1">
              <w:rPr>
                <w:rFonts w:ascii="Arial" w:hAnsi="Arial" w:cs="Arial"/>
                <w:sz w:val="18"/>
                <w:szCs w:val="18"/>
              </w:rPr>
              <w:t>Composition</w:t>
            </w:r>
          </w:p>
        </w:tc>
        <w:tc>
          <w:tcPr>
            <w:tcW w:w="1983" w:type="dxa"/>
          </w:tcPr>
          <w:p w:rsidR="006802A3" w:rsidRPr="008A06E1" w:rsidRDefault="006802A3" w:rsidP="00150319">
            <w:pPr>
              <w:pStyle w:val="FR2"/>
              <w:spacing w:line="240" w:lineRule="auto"/>
              <w:jc w:val="center"/>
              <w:rPr>
                <w:rFonts w:ascii="Arial" w:hAnsi="Arial" w:cs="Arial"/>
                <w:noProof/>
                <w:sz w:val="18"/>
                <w:szCs w:val="18"/>
                <w:lang w:val="en-US"/>
              </w:rPr>
            </w:pPr>
            <w:r w:rsidRPr="008A06E1">
              <w:rPr>
                <w:rFonts w:ascii="Arial" w:hAnsi="Arial" w:cs="Arial"/>
                <w:noProof/>
                <w:sz w:val="18"/>
                <w:szCs w:val="18"/>
                <w:lang w:val="en-US"/>
              </w:rPr>
              <w:t>Softening temperature, °C (Ring and Ball method)</w:t>
            </w:r>
          </w:p>
        </w:tc>
      </w:tr>
      <w:bookmarkEnd w:id="2"/>
      <w:tr w:rsidR="006802A3" w:rsidRPr="00CF253E" w:rsidTr="0049067C">
        <w:trPr>
          <w:cantSplit/>
          <w:trHeight w:val="340"/>
        </w:trPr>
        <w:tc>
          <w:tcPr>
            <w:tcW w:w="8640" w:type="dxa"/>
            <w:gridSpan w:val="3"/>
            <w:vAlign w:val="center"/>
          </w:tcPr>
          <w:p w:rsidR="006802A3" w:rsidRPr="006802A3" w:rsidRDefault="006802A3" w:rsidP="00641B0F">
            <w:pPr>
              <w:pStyle w:val="FR2"/>
              <w:spacing w:line="240" w:lineRule="auto"/>
              <w:jc w:val="center"/>
              <w:rPr>
                <w:rFonts w:ascii="Arial" w:hAnsi="Arial" w:cs="Arial"/>
                <w:b/>
                <w:bCs/>
                <w:noProof/>
                <w:sz w:val="18"/>
                <w:szCs w:val="18"/>
              </w:rPr>
            </w:pPr>
            <w:r>
              <w:rPr>
                <w:rFonts w:ascii="Arial" w:hAnsi="Arial" w:cs="Arial"/>
                <w:sz w:val="18"/>
                <w:szCs w:val="18"/>
              </w:rPr>
              <w:t>Experiment 1</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–90,0%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40,0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277"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“Kraton” – 10% and mixing for 30 minutes.</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106,0</w:t>
            </w:r>
          </w:p>
        </w:tc>
      </w:tr>
      <w:tr w:rsidR="006802A3" w:rsidRPr="008C157F" w:rsidTr="0049067C">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2</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-95,0%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98,0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277"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“Kraton” – 5% and mixing for 30 minutes.</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114,0</w:t>
            </w:r>
          </w:p>
        </w:tc>
      </w:tr>
      <w:tr w:rsidR="006802A3" w:rsidRPr="008C157F" w:rsidTr="0049067C">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3</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II</w:t>
            </w:r>
            <w:r>
              <w:rPr>
                <w:rFonts w:ascii="Arial" w:hAnsi="Arial" w:cs="Arial"/>
                <w:noProof/>
                <w:sz w:val="18"/>
                <w:szCs w:val="18"/>
              </w:rPr>
              <w:t xml:space="preserve">  -50,0%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40,0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BNK</w:t>
            </w:r>
            <w:r>
              <w:rPr>
                <w:rFonts w:ascii="Arial" w:hAnsi="Arial" w:cs="Arial"/>
                <w:noProof/>
                <w:sz w:val="18"/>
                <w:szCs w:val="18"/>
              </w:rPr>
              <w:t xml:space="preserve"> -</w:t>
            </w:r>
            <w:r>
              <w:rPr>
                <w:rFonts w:ascii="Arial" w:hAnsi="Arial" w:cs="Arial"/>
                <w:noProof/>
                <w:sz w:val="18"/>
                <w:szCs w:val="18"/>
                <w:lang w:val="en-US"/>
              </w:rPr>
              <w:t>V</w:t>
            </w:r>
            <w:r>
              <w:rPr>
                <w:rFonts w:ascii="Arial" w:hAnsi="Arial" w:cs="Arial"/>
                <w:noProof/>
                <w:sz w:val="18"/>
                <w:szCs w:val="18"/>
              </w:rPr>
              <w:t xml:space="preserve">  -50,0%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98,0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Compound</w:t>
            </w:r>
            <w:r>
              <w:rPr>
                <w:rFonts w:ascii="Arial" w:hAnsi="Arial" w:cs="Arial"/>
                <w:noProof/>
                <w:sz w:val="18"/>
                <w:szCs w:val="18"/>
              </w:rPr>
              <w:t xml:space="preserve">  -90,0%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67,0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4</w:t>
            </w:r>
          </w:p>
        </w:tc>
        <w:tc>
          <w:tcPr>
            <w:tcW w:w="6277"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“Kraton” – 10% and mixing for 30 minutes.</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108,0</w:t>
            </w:r>
          </w:p>
        </w:tc>
      </w:tr>
      <w:tr w:rsidR="006802A3" w:rsidRPr="008C157F" w:rsidTr="0049067C">
        <w:trPr>
          <w:cantSplit/>
          <w:trHeight w:val="340"/>
        </w:trPr>
        <w:tc>
          <w:tcPr>
            <w:tcW w:w="8640" w:type="dxa"/>
            <w:gridSpan w:val="3"/>
            <w:vAlign w:val="center"/>
          </w:tcPr>
          <w:p w:rsidR="006802A3" w:rsidRPr="006802A3" w:rsidRDefault="006802A3" w:rsidP="00150319">
            <w:pPr>
              <w:pStyle w:val="FR2"/>
              <w:spacing w:line="240" w:lineRule="auto"/>
              <w:jc w:val="center"/>
              <w:rPr>
                <w:rFonts w:ascii="Arial" w:hAnsi="Arial" w:cs="Arial"/>
                <w:b/>
                <w:bCs/>
                <w:noProof/>
                <w:sz w:val="18"/>
                <w:szCs w:val="18"/>
                <w:lang w:val="en-US"/>
              </w:rPr>
            </w:pPr>
            <w:r>
              <w:rPr>
                <w:rFonts w:ascii="Arial" w:hAnsi="Arial" w:cs="Arial"/>
                <w:sz w:val="18"/>
                <w:szCs w:val="18"/>
              </w:rPr>
              <w:t xml:space="preserve">Experiment </w:t>
            </w:r>
            <w:r>
              <w:rPr>
                <w:rFonts w:ascii="Arial" w:hAnsi="Arial" w:cs="Arial"/>
                <w:sz w:val="18"/>
                <w:szCs w:val="18"/>
                <w:lang w:val="en-US"/>
              </w:rPr>
              <w:t>4</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1</w:t>
            </w:r>
          </w:p>
        </w:tc>
        <w:tc>
          <w:tcPr>
            <w:tcW w:w="6277"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sz w:val="18"/>
                <w:szCs w:val="18"/>
              </w:rPr>
              <w:t>Compound (from Experiment 3)</w:t>
            </w:r>
            <w:r>
              <w:rPr>
                <w:rFonts w:ascii="Arial" w:hAnsi="Arial" w:cs="Arial"/>
                <w:noProof/>
                <w:sz w:val="18"/>
                <w:szCs w:val="18"/>
              </w:rPr>
              <w:t>-82,0%</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67,0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2</w:t>
            </w:r>
          </w:p>
        </w:tc>
        <w:tc>
          <w:tcPr>
            <w:tcW w:w="6277"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“Kraton” – 8.0% and mixing for 30 minutes.</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100,0</w:t>
            </w:r>
          </w:p>
        </w:tc>
      </w:tr>
      <w:tr w:rsidR="006802A3" w:rsidRPr="00CF253E" w:rsidTr="0049067C">
        <w:trPr>
          <w:trHeight w:val="340"/>
        </w:trPr>
        <w:tc>
          <w:tcPr>
            <w:tcW w:w="380" w:type="dxa"/>
            <w:vAlign w:val="center"/>
          </w:tcPr>
          <w:p w:rsidR="006802A3" w:rsidRPr="006802A3" w:rsidRDefault="006802A3" w:rsidP="00150319">
            <w:pPr>
              <w:pStyle w:val="FR2"/>
              <w:spacing w:line="240" w:lineRule="auto"/>
              <w:rPr>
                <w:rFonts w:ascii="Arial" w:hAnsi="Arial" w:cs="Arial"/>
                <w:noProof/>
                <w:sz w:val="18"/>
                <w:szCs w:val="18"/>
              </w:rPr>
            </w:pPr>
            <w:r>
              <w:rPr>
                <w:rFonts w:ascii="Arial" w:hAnsi="Arial" w:cs="Arial"/>
                <w:noProof/>
                <w:sz w:val="18"/>
                <w:szCs w:val="18"/>
              </w:rPr>
              <w:t>3</w:t>
            </w:r>
          </w:p>
        </w:tc>
        <w:tc>
          <w:tcPr>
            <w:tcW w:w="6277" w:type="dxa"/>
            <w:vAlign w:val="center"/>
          </w:tcPr>
          <w:p w:rsidR="006802A3" w:rsidRPr="006802A3" w:rsidRDefault="006802A3" w:rsidP="00150319">
            <w:pPr>
              <w:pStyle w:val="FR2"/>
              <w:spacing w:line="240" w:lineRule="auto"/>
              <w:rPr>
                <w:rFonts w:ascii="Arial" w:hAnsi="Arial" w:cs="Arial"/>
                <w:noProof/>
                <w:sz w:val="18"/>
                <w:szCs w:val="18"/>
                <w:lang w:val="en-US"/>
              </w:rPr>
            </w:pPr>
            <w:r>
              <w:rPr>
                <w:rFonts w:ascii="Arial" w:hAnsi="Arial" w:cs="Arial"/>
                <w:sz w:val="18"/>
                <w:szCs w:val="18"/>
                <w:lang w:val="en-US"/>
              </w:rPr>
              <w:t>Addition of filler (cement dust) – 10.0% and mixing for 20 minutes.</w:t>
            </w:r>
          </w:p>
        </w:tc>
        <w:tc>
          <w:tcPr>
            <w:tcW w:w="1983" w:type="dxa"/>
            <w:vAlign w:val="center"/>
          </w:tcPr>
          <w:p w:rsidR="006802A3" w:rsidRPr="006802A3" w:rsidRDefault="006802A3" w:rsidP="00150319">
            <w:pPr>
              <w:pStyle w:val="FR2"/>
              <w:spacing w:line="240" w:lineRule="auto"/>
              <w:jc w:val="center"/>
              <w:rPr>
                <w:rFonts w:ascii="Arial" w:hAnsi="Arial" w:cs="Arial"/>
                <w:noProof/>
                <w:sz w:val="18"/>
                <w:szCs w:val="18"/>
              </w:rPr>
            </w:pPr>
            <w:r>
              <w:rPr>
                <w:rFonts w:ascii="Arial" w:hAnsi="Arial" w:cs="Arial"/>
                <w:noProof/>
                <w:sz w:val="18"/>
                <w:szCs w:val="18"/>
              </w:rPr>
              <w:t>112,0</w:t>
            </w:r>
          </w:p>
        </w:tc>
      </w:tr>
    </w:tbl>
    <w:p w:rsidR="006802A3" w:rsidRPr="006802A3" w:rsidRDefault="006802A3" w:rsidP="006802A3">
      <w:pPr>
        <w:pStyle w:val="CETListbullets"/>
        <w:ind w:left="113"/>
        <w:jc w:val="right"/>
        <w:rPr>
          <w:lang w:val="en-US"/>
        </w:rPr>
      </w:pPr>
      <w:r>
        <w:rPr>
          <w:lang w:val="en-US"/>
        </w:rPr>
        <w:t>Table No. 4</w:t>
      </w:r>
    </w:p>
    <w:p w:rsidR="006802A3" w:rsidRDefault="006802A3" w:rsidP="006802A3">
      <w:pPr>
        <w:pStyle w:val="CETListbullets"/>
        <w:ind w:left="113" w:firstLine="0"/>
        <w:jc w:val="center"/>
        <w:rPr>
          <w:lang w:val="en-US"/>
        </w:rPr>
      </w:pPr>
      <w:r>
        <w:rPr>
          <w:lang w:val="en-US"/>
        </w:rPr>
        <w:t>Main construction and operational characteristics of film-bitumen composite materials (rubber-bitumen).</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
        <w:gridCol w:w="6254"/>
        <w:gridCol w:w="1983"/>
      </w:tblGrid>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w:t>
            </w:r>
          </w:p>
        </w:tc>
        <w:tc>
          <w:tcPr>
            <w:tcW w:w="6267" w:type="dxa"/>
            <w:vAlign w:val="center"/>
          </w:tcPr>
          <w:p w:rsidR="006802A3" w:rsidRPr="006802A3" w:rsidRDefault="006802A3" w:rsidP="00150319">
            <w:pPr>
              <w:spacing w:line="240" w:lineRule="auto"/>
              <w:jc w:val="center"/>
              <w:rPr>
                <w:noProof/>
                <w:szCs w:val="18"/>
              </w:rPr>
            </w:pPr>
            <w:r>
              <w:rPr>
                <w:szCs w:val="18"/>
              </w:rPr>
              <w:t>Names of indicators</w:t>
            </w:r>
          </w:p>
        </w:tc>
        <w:tc>
          <w:tcPr>
            <w:tcW w:w="1985" w:type="dxa"/>
            <w:vAlign w:val="center"/>
          </w:tcPr>
          <w:p w:rsidR="006802A3" w:rsidRPr="006802A3" w:rsidRDefault="006802A3" w:rsidP="00150319">
            <w:pPr>
              <w:spacing w:line="240" w:lineRule="auto"/>
              <w:jc w:val="center"/>
              <w:rPr>
                <w:noProof/>
                <w:szCs w:val="18"/>
              </w:rPr>
            </w:pPr>
            <w:r>
              <w:rPr>
                <w:szCs w:val="18"/>
              </w:rPr>
              <w:t>Indicators (standard values)</w:t>
            </w:r>
          </w:p>
        </w:tc>
      </w:tr>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1.</w:t>
            </w:r>
          </w:p>
        </w:tc>
        <w:tc>
          <w:tcPr>
            <w:tcW w:w="6267" w:type="dxa"/>
            <w:vAlign w:val="center"/>
          </w:tcPr>
          <w:p w:rsidR="006802A3" w:rsidRPr="006802A3" w:rsidRDefault="006802A3" w:rsidP="00150319">
            <w:pPr>
              <w:spacing w:line="240" w:lineRule="auto"/>
              <w:rPr>
                <w:noProof/>
                <w:szCs w:val="18"/>
                <w:lang w:val="en-US"/>
              </w:rPr>
            </w:pPr>
            <w:r>
              <w:rPr>
                <w:szCs w:val="18"/>
                <w:lang w:val="en-US"/>
              </w:rPr>
              <w:t>Content of modifier, % (rubber crumb)</w:t>
            </w:r>
          </w:p>
        </w:tc>
        <w:tc>
          <w:tcPr>
            <w:tcW w:w="1985" w:type="dxa"/>
            <w:vAlign w:val="center"/>
          </w:tcPr>
          <w:p w:rsidR="006802A3" w:rsidRPr="006802A3" w:rsidRDefault="006802A3" w:rsidP="00150319">
            <w:pPr>
              <w:spacing w:line="240" w:lineRule="auto"/>
              <w:jc w:val="center"/>
              <w:rPr>
                <w:noProof/>
                <w:szCs w:val="18"/>
              </w:rPr>
            </w:pPr>
            <w:r>
              <w:rPr>
                <w:noProof/>
                <w:szCs w:val="18"/>
              </w:rPr>
              <w:t>20 – 25</w:t>
            </w:r>
          </w:p>
        </w:tc>
      </w:tr>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2.</w:t>
            </w:r>
          </w:p>
        </w:tc>
        <w:tc>
          <w:tcPr>
            <w:tcW w:w="6267" w:type="dxa"/>
            <w:vAlign w:val="center"/>
          </w:tcPr>
          <w:p w:rsidR="006802A3" w:rsidRPr="006802A3" w:rsidRDefault="006802A3" w:rsidP="00150319">
            <w:pPr>
              <w:spacing w:line="240" w:lineRule="auto"/>
              <w:rPr>
                <w:noProof/>
                <w:szCs w:val="18"/>
                <w:lang w:val="en-US"/>
              </w:rPr>
            </w:pPr>
            <w:r>
              <w:rPr>
                <w:szCs w:val="18"/>
                <w:lang w:val="en-US"/>
              </w:rPr>
              <w:t>Tensile breaking strength (conditional strength of the composition), MPa (kg/cm²)</w:t>
            </w:r>
          </w:p>
        </w:tc>
        <w:tc>
          <w:tcPr>
            <w:tcW w:w="1985" w:type="dxa"/>
            <w:vAlign w:val="center"/>
          </w:tcPr>
          <w:p w:rsidR="006802A3" w:rsidRPr="006802A3" w:rsidRDefault="006802A3" w:rsidP="00150319">
            <w:pPr>
              <w:spacing w:line="240" w:lineRule="auto"/>
              <w:jc w:val="center"/>
              <w:rPr>
                <w:noProof/>
                <w:szCs w:val="18"/>
              </w:rPr>
            </w:pPr>
            <w:r>
              <w:rPr>
                <w:noProof/>
                <w:szCs w:val="18"/>
              </w:rPr>
              <w:t>0,3 – 0,35</w:t>
            </w:r>
          </w:p>
          <w:p w:rsidR="006802A3" w:rsidRPr="006802A3" w:rsidRDefault="006802A3" w:rsidP="00150319">
            <w:pPr>
              <w:spacing w:line="240" w:lineRule="auto"/>
              <w:jc w:val="center"/>
              <w:rPr>
                <w:noProof/>
                <w:szCs w:val="18"/>
              </w:rPr>
            </w:pPr>
            <w:r>
              <w:rPr>
                <w:noProof/>
                <w:szCs w:val="18"/>
              </w:rPr>
              <w:t>(3,0 – 3,5)</w:t>
            </w:r>
          </w:p>
        </w:tc>
      </w:tr>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3.</w:t>
            </w:r>
          </w:p>
        </w:tc>
        <w:tc>
          <w:tcPr>
            <w:tcW w:w="6267" w:type="dxa"/>
            <w:vAlign w:val="center"/>
          </w:tcPr>
          <w:p w:rsidR="006802A3" w:rsidRPr="006802A3" w:rsidRDefault="006802A3" w:rsidP="00150319">
            <w:pPr>
              <w:spacing w:line="240" w:lineRule="auto"/>
              <w:rPr>
                <w:szCs w:val="18"/>
              </w:rPr>
            </w:pPr>
            <w:r>
              <w:rPr>
                <w:szCs w:val="18"/>
              </w:rPr>
              <w:t>Elongation at break, %</w:t>
            </w:r>
          </w:p>
        </w:tc>
        <w:tc>
          <w:tcPr>
            <w:tcW w:w="1985" w:type="dxa"/>
            <w:vAlign w:val="center"/>
          </w:tcPr>
          <w:p w:rsidR="006802A3" w:rsidRPr="006802A3" w:rsidRDefault="006802A3" w:rsidP="00150319">
            <w:pPr>
              <w:spacing w:line="240" w:lineRule="auto"/>
              <w:jc w:val="center"/>
              <w:rPr>
                <w:noProof/>
                <w:szCs w:val="18"/>
              </w:rPr>
            </w:pPr>
            <w:r>
              <w:rPr>
                <w:noProof/>
                <w:szCs w:val="18"/>
              </w:rPr>
              <w:t>80 –100</w:t>
            </w:r>
          </w:p>
        </w:tc>
      </w:tr>
      <w:tr w:rsidR="006802A3" w:rsidRPr="0022397F"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4.</w:t>
            </w:r>
          </w:p>
        </w:tc>
        <w:tc>
          <w:tcPr>
            <w:tcW w:w="6267" w:type="dxa"/>
            <w:vAlign w:val="center"/>
          </w:tcPr>
          <w:p w:rsidR="006802A3" w:rsidRPr="006802A3" w:rsidRDefault="006802A3" w:rsidP="00150319">
            <w:pPr>
              <w:spacing w:line="240" w:lineRule="auto"/>
              <w:rPr>
                <w:szCs w:val="18"/>
                <w:lang w:val="en-US"/>
              </w:rPr>
            </w:pPr>
            <w:r>
              <w:rPr>
                <w:szCs w:val="18"/>
                <w:lang w:val="en-US"/>
              </w:rPr>
              <w:t>Flexibility of the composition on a beam with a rounded radius (25.0 ± 2 mm) at a temperature of (268 ± 1 K) (−10 ± 1°C)</w:t>
            </w:r>
          </w:p>
          <w:p w:rsidR="006802A3" w:rsidRPr="006802A3" w:rsidRDefault="006802A3" w:rsidP="00150319">
            <w:pPr>
              <w:spacing w:line="240" w:lineRule="auto"/>
              <w:rPr>
                <w:noProof/>
                <w:szCs w:val="18"/>
                <w:lang w:val="en-US"/>
              </w:rPr>
            </w:pPr>
            <w:r>
              <w:rPr>
                <w:noProof/>
                <w:szCs w:val="18"/>
                <w:lang w:val="en-US"/>
              </w:rPr>
              <w:t xml:space="preserve">- </w:t>
            </w:r>
            <w:r>
              <w:rPr>
                <w:szCs w:val="18"/>
                <w:lang w:val="en-US"/>
              </w:rPr>
              <w:t>Composition at a temperature of 258 ± 1 K (−15°C).</w:t>
            </w:r>
          </w:p>
          <w:p w:rsidR="006802A3" w:rsidRPr="006802A3" w:rsidRDefault="006802A3" w:rsidP="00150319">
            <w:pPr>
              <w:spacing w:line="240" w:lineRule="auto"/>
              <w:rPr>
                <w:noProof/>
                <w:szCs w:val="18"/>
                <w:lang w:val="en-US"/>
              </w:rPr>
            </w:pPr>
            <w:r>
              <w:rPr>
                <w:noProof/>
                <w:szCs w:val="18"/>
                <w:lang w:val="en-US"/>
              </w:rPr>
              <w:t xml:space="preserve">- </w:t>
            </w:r>
            <w:r>
              <w:rPr>
                <w:szCs w:val="18"/>
                <w:lang w:val="en-US"/>
              </w:rPr>
              <w:t>Material “Elastorid” at a temperature of 268 ± 1 K (−10°C)</w:t>
            </w:r>
          </w:p>
        </w:tc>
        <w:tc>
          <w:tcPr>
            <w:tcW w:w="1985" w:type="dxa"/>
            <w:vAlign w:val="center"/>
          </w:tcPr>
          <w:p w:rsidR="006802A3" w:rsidRPr="006802A3" w:rsidRDefault="006802A3" w:rsidP="00150319">
            <w:pPr>
              <w:spacing w:line="240" w:lineRule="auto"/>
              <w:jc w:val="center"/>
              <w:rPr>
                <w:noProof/>
                <w:szCs w:val="18"/>
                <w:lang w:val="en-US"/>
              </w:rPr>
            </w:pPr>
            <w:r>
              <w:rPr>
                <w:szCs w:val="18"/>
                <w:lang w:val="en-US"/>
              </w:rPr>
              <w:t>No cracks were formed on the surface (same).</w:t>
            </w:r>
          </w:p>
        </w:tc>
      </w:tr>
      <w:tr w:rsidR="006802A3" w:rsidRPr="0022397F"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lastRenderedPageBreak/>
              <w:t>5.</w:t>
            </w:r>
          </w:p>
        </w:tc>
        <w:tc>
          <w:tcPr>
            <w:tcW w:w="6267" w:type="dxa"/>
            <w:vAlign w:val="center"/>
          </w:tcPr>
          <w:p w:rsidR="006802A3" w:rsidRPr="006802A3" w:rsidRDefault="006802A3" w:rsidP="00150319">
            <w:pPr>
              <w:spacing w:line="240" w:lineRule="auto"/>
              <w:rPr>
                <w:noProof/>
                <w:szCs w:val="18"/>
                <w:lang w:val="en-US"/>
              </w:rPr>
            </w:pPr>
            <w:r>
              <w:rPr>
                <w:noProof/>
                <w:szCs w:val="18"/>
                <w:lang w:val="en-US"/>
              </w:rPr>
              <w:t>Heat resistance at a temperature of (363 ± 2) K (90 ± 2°C)</w:t>
            </w:r>
          </w:p>
        </w:tc>
        <w:tc>
          <w:tcPr>
            <w:tcW w:w="1985" w:type="dxa"/>
            <w:vAlign w:val="center"/>
          </w:tcPr>
          <w:p w:rsidR="006802A3" w:rsidRPr="006802A3" w:rsidRDefault="006802A3" w:rsidP="00150319">
            <w:pPr>
              <w:spacing w:line="240" w:lineRule="auto"/>
              <w:jc w:val="center"/>
              <w:rPr>
                <w:noProof/>
                <w:szCs w:val="18"/>
                <w:lang w:val="en-US"/>
              </w:rPr>
            </w:pPr>
            <w:r>
              <w:rPr>
                <w:szCs w:val="18"/>
                <w:lang w:val="en-US"/>
              </w:rPr>
              <w:t>No bubbles, swelling, or layer displacement were observed on the surface.</w:t>
            </w:r>
          </w:p>
        </w:tc>
      </w:tr>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6.</w:t>
            </w:r>
          </w:p>
        </w:tc>
        <w:tc>
          <w:tcPr>
            <w:tcW w:w="6267" w:type="dxa"/>
            <w:vAlign w:val="center"/>
          </w:tcPr>
          <w:p w:rsidR="006802A3" w:rsidRPr="006802A3" w:rsidRDefault="006802A3" w:rsidP="00150319">
            <w:pPr>
              <w:spacing w:line="240" w:lineRule="auto"/>
              <w:rPr>
                <w:noProof/>
                <w:szCs w:val="18"/>
                <w:lang w:val="en-US"/>
              </w:rPr>
            </w:pPr>
            <w:r>
              <w:rPr>
                <w:szCs w:val="18"/>
                <w:lang w:val="en-US"/>
              </w:rPr>
              <w:t>Brittleness temperature of the composition, according to Fraass, K (°C)</w:t>
            </w:r>
          </w:p>
        </w:tc>
        <w:tc>
          <w:tcPr>
            <w:tcW w:w="1985" w:type="dxa"/>
            <w:vAlign w:val="center"/>
          </w:tcPr>
          <w:p w:rsidR="006802A3" w:rsidRPr="006802A3" w:rsidRDefault="006802A3" w:rsidP="00150319">
            <w:pPr>
              <w:spacing w:line="240" w:lineRule="auto"/>
              <w:jc w:val="center"/>
              <w:rPr>
                <w:noProof/>
                <w:szCs w:val="18"/>
              </w:rPr>
            </w:pPr>
            <w:r>
              <w:rPr>
                <w:noProof/>
                <w:szCs w:val="18"/>
              </w:rPr>
              <w:t>253–256 K (−20 ± 2°C)</w:t>
            </w:r>
          </w:p>
        </w:tc>
      </w:tr>
      <w:tr w:rsidR="006802A3" w:rsidRPr="00CF253E" w:rsidTr="00EB0FE0">
        <w:trPr>
          <w:trHeight w:val="340"/>
        </w:trPr>
        <w:tc>
          <w:tcPr>
            <w:tcW w:w="395" w:type="dxa"/>
            <w:vAlign w:val="center"/>
          </w:tcPr>
          <w:p w:rsidR="006802A3" w:rsidRPr="006802A3" w:rsidRDefault="006802A3" w:rsidP="00150319">
            <w:pPr>
              <w:spacing w:line="240" w:lineRule="auto"/>
              <w:jc w:val="center"/>
              <w:rPr>
                <w:noProof/>
                <w:szCs w:val="18"/>
              </w:rPr>
            </w:pPr>
            <w:r>
              <w:rPr>
                <w:noProof/>
                <w:szCs w:val="18"/>
              </w:rPr>
              <w:t>7.</w:t>
            </w:r>
          </w:p>
        </w:tc>
        <w:tc>
          <w:tcPr>
            <w:tcW w:w="6267" w:type="dxa"/>
            <w:vAlign w:val="center"/>
          </w:tcPr>
          <w:p w:rsidR="006802A3" w:rsidRPr="006802A3" w:rsidRDefault="006802A3" w:rsidP="00150319">
            <w:pPr>
              <w:spacing w:line="240" w:lineRule="auto"/>
              <w:rPr>
                <w:noProof/>
                <w:szCs w:val="18"/>
                <w:lang w:val="en-US"/>
              </w:rPr>
            </w:pPr>
            <w:r>
              <w:rPr>
                <w:szCs w:val="18"/>
                <w:lang w:val="en-US"/>
              </w:rPr>
              <w:t>Water absorption after 24 hours, % by mass (material “Elastorid”)</w:t>
            </w:r>
          </w:p>
        </w:tc>
        <w:tc>
          <w:tcPr>
            <w:tcW w:w="1985" w:type="dxa"/>
            <w:vAlign w:val="center"/>
          </w:tcPr>
          <w:p w:rsidR="006802A3" w:rsidRPr="006802A3" w:rsidRDefault="006802A3" w:rsidP="00150319">
            <w:pPr>
              <w:spacing w:line="240" w:lineRule="auto"/>
              <w:jc w:val="center"/>
              <w:rPr>
                <w:noProof/>
                <w:szCs w:val="18"/>
              </w:rPr>
            </w:pPr>
            <w:r>
              <w:rPr>
                <w:noProof/>
                <w:szCs w:val="18"/>
              </w:rPr>
              <w:t>1,0 – 1,2</w:t>
            </w:r>
          </w:p>
        </w:tc>
      </w:tr>
    </w:tbl>
    <w:p w:rsidR="0049067C" w:rsidRPr="001433E7" w:rsidRDefault="0049067C" w:rsidP="00EB0FE0">
      <w:pPr>
        <w:pStyle w:val="CETListbullets"/>
        <w:ind w:left="113" w:firstLine="0"/>
        <w:rPr>
          <w:rFonts w:cs="Arial"/>
          <w:szCs w:val="18"/>
          <w:lang w:val="en-US"/>
        </w:rPr>
      </w:pPr>
    </w:p>
    <w:p w:rsidR="005449AC" w:rsidRPr="001433E7" w:rsidRDefault="00CD59A3" w:rsidP="0049067C">
      <w:pPr>
        <w:pStyle w:val="CETListbullets"/>
        <w:ind w:left="0" w:firstLine="0"/>
        <w:rPr>
          <w:rFonts w:cs="Arial"/>
          <w:szCs w:val="18"/>
          <w:lang w:val="en-US"/>
        </w:rPr>
      </w:pPr>
      <w:r w:rsidRPr="001433E7">
        <w:rPr>
          <w:rFonts w:cs="Arial"/>
          <w:szCs w:val="18"/>
          <w:lang w:val="en-US"/>
        </w:rPr>
        <w:t>This research establishes the technology and performance of modified bitumen-based composite materials developed from local raw materials and industrial waste for Uzbekistan’s extreme continental climate. Thermomechanical degradation of rubber crumb (210–230°C, 3 h), combined with cement-dust filler and 3–5% basalt-fiber reinforcement, raised the softening temperature to a record 140°C, while the “Elastorid” material retained flexibility at −15°C and matched the performance of the imported modifier “Kraton”.</w:t>
      </w:r>
    </w:p>
    <w:p w:rsidR="00EB0FE0" w:rsidRPr="001433E7" w:rsidRDefault="00EB0FE0" w:rsidP="0049067C">
      <w:pPr>
        <w:pStyle w:val="CETHeading1"/>
        <w:rPr>
          <w:rFonts w:cs="Arial"/>
          <w:sz w:val="18"/>
          <w:szCs w:val="18"/>
        </w:rPr>
      </w:pPr>
      <w:r w:rsidRPr="001433E7">
        <w:rPr>
          <w:rFonts w:cs="Arial"/>
          <w:sz w:val="18"/>
          <w:szCs w:val="18"/>
        </w:rPr>
        <w:t>Conclusion</w:t>
      </w:r>
    </w:p>
    <w:p w:rsidR="00B62644" w:rsidRPr="001433E7" w:rsidRDefault="00641B0F" w:rsidP="0049067C">
      <w:pPr>
        <w:pStyle w:val="CETListbullets"/>
        <w:spacing w:before="240"/>
        <w:ind w:left="0" w:firstLine="0"/>
        <w:rPr>
          <w:rFonts w:cs="Arial"/>
          <w:szCs w:val="18"/>
          <w:lang w:val="en-US"/>
        </w:rPr>
      </w:pPr>
      <w:r w:rsidRPr="001433E7">
        <w:rPr>
          <w:rFonts w:cs="Arial"/>
          <w:szCs w:val="18"/>
          <w:lang w:val="en-US"/>
        </w:rPr>
        <w:t>The research successfully synthesized a new generation of bitumen-based composite materials that satisfy rigorous national and international technical standards, with specific film-based formulations officially recognized as superior solutions for sound, noise, and vibration insulation in passenger vehicle interiors. These compositions, developed over several years at the LLC “Uzruberoid” facility to meet the contractual requirements of “GM Uzbekistan”, were designed for pilot-industrial validation on the plant’s dedicated “Izol” production line; however, this industrial rollout is temporarily pending necessary infrastructural upgrades, for which comprehensive modernization proposals have already been finalized and the operational phase rescheduled accordingly. The research effectively bridges the gap between industrial waste recycling and high-end automotive engineering by providing an import-substituting material with proven durability, establishing a sustainable and scientifically grounded framework for the future of localized high-tech insulation production in the region.</w:t>
      </w:r>
    </w:p>
    <w:p w:rsidR="008B5DEF" w:rsidRPr="001433E7" w:rsidRDefault="008B5DEF" w:rsidP="0049067C">
      <w:pPr>
        <w:spacing w:before="240" w:line="240" w:lineRule="auto"/>
        <w:jc w:val="left"/>
        <w:rPr>
          <w:rFonts w:cs="Arial"/>
          <w:b/>
          <w:bCs/>
          <w:noProof/>
          <w:szCs w:val="18"/>
          <w:lang w:val="en-US"/>
        </w:rPr>
      </w:pPr>
      <w:r w:rsidRPr="001433E7">
        <w:rPr>
          <w:rFonts w:cs="Arial"/>
          <w:b/>
          <w:bCs/>
          <w:noProof/>
          <w:szCs w:val="18"/>
          <w:lang w:val="en-US"/>
        </w:rPr>
        <w:t>References</w:t>
      </w:r>
    </w:p>
    <w:p w:rsidR="00917A8B" w:rsidRPr="001433E7" w:rsidRDefault="008440FF">
      <w:pPr>
        <w:jc w:val="left"/>
        <w:rPr>
          <w:rFonts w:cs="Arial"/>
          <w:szCs w:val="18"/>
        </w:rPr>
      </w:pPr>
      <w:r w:rsidRPr="001433E7">
        <w:rPr>
          <w:rFonts w:cs="Arial"/>
          <w:szCs w:val="18"/>
        </w:rPr>
        <w:t>Alfè, M., Gargiulo, V., Ruoppolo, G., Cimino, L., Caputo, P., Loise, V., Calandra, P. and Oliviero Rossi, C., 2024. A circular economy challenge: turning wastes into sustainable asphalt binders by pyrolysis. Chemical Engineering Transactions, 109. Available at: https://www.cetjournal.it/cet/24/109/073.pdf.</w:t>
      </w:r>
    </w:p>
    <w:p w:rsidR="00873774" w:rsidRDefault="00873774" w:rsidP="0049067C">
      <w:pPr>
        <w:spacing w:line="240" w:lineRule="auto"/>
        <w:jc w:val="left"/>
        <w:rPr>
          <w:noProof/>
          <w:lang w:val="en-US"/>
        </w:rPr>
      </w:pPr>
      <w:r w:rsidRPr="001433E7">
        <w:rPr>
          <w:rFonts w:cs="Arial"/>
          <w:noProof/>
          <w:szCs w:val="18"/>
          <w:lang w:val="en-US"/>
        </w:rPr>
        <w:t>Bazarbayev, F.N., Jabbarov, U.R., Djalilov, A.T., Samigov, N.A., Sultanov, A.S., Sayfiddinov, S.</w:t>
      </w:r>
      <w:r w:rsidRPr="001433E7">
        <w:rPr>
          <w:noProof/>
          <w:lang w:val="en-US"/>
        </w:rPr>
        <w:t xml:space="preserve"> </w:t>
      </w:r>
      <w:r>
        <w:rPr>
          <w:noProof/>
          <w:lang w:val="en-US"/>
        </w:rPr>
        <w:t>and Esonov, X.R., 2017. Composition of bitumen-polymer composite material. Patent of the Republic of Uzbekistan No. IAP 05490, dated 20.10.2017.</w:t>
      </w:r>
    </w:p>
    <w:p w:rsidR="00873774" w:rsidRDefault="00873774" w:rsidP="0049067C">
      <w:pPr>
        <w:spacing w:line="240" w:lineRule="auto"/>
        <w:jc w:val="left"/>
        <w:rPr>
          <w:noProof/>
          <w:lang w:val="en-US"/>
        </w:rPr>
      </w:pPr>
      <w:r>
        <w:rPr>
          <w:noProof/>
          <w:lang w:val="en-US"/>
        </w:rPr>
        <w:t xml:space="preserve">Ibadullaev, A., Nigmatova, D. and Teshabaeva, E., 2021. Radiation resistance of filled elastomer compositions. </w:t>
      </w:r>
      <w:r>
        <w:rPr>
          <w:i/>
          <w:iCs/>
          <w:noProof/>
          <w:lang w:val="en-US"/>
        </w:rPr>
        <w:t>IOP Conference Series: Earth and Environmental Science</w:t>
      </w:r>
      <w:r>
        <w:rPr>
          <w:noProof/>
          <w:lang w:val="en-US"/>
        </w:rPr>
        <w:t>, 808(1), p.012043. https://doi.org/10.1088/1755-1315/808/1/012043</w:t>
      </w:r>
    </w:p>
    <w:p w:rsidR="00873774" w:rsidRDefault="00873774" w:rsidP="0049067C">
      <w:pPr>
        <w:spacing w:line="240" w:lineRule="auto"/>
        <w:jc w:val="left"/>
        <w:rPr>
          <w:noProof/>
          <w:lang w:val="en-US"/>
        </w:rPr>
      </w:pPr>
      <w:r>
        <w:rPr>
          <w:noProof/>
          <w:lang w:val="en-US"/>
        </w:rPr>
        <w:t xml:space="preserve">Ibadullaev, A., Teshabaeva, E., Kakharov, B. and Babaev, A., 2022. Elastomeric materials based on new ingredients. </w:t>
      </w:r>
      <w:r>
        <w:rPr>
          <w:i/>
          <w:iCs/>
          <w:noProof/>
          <w:lang w:val="en-US"/>
        </w:rPr>
        <w:t>AIP Conference Proceedings</w:t>
      </w:r>
      <w:r>
        <w:rPr>
          <w:noProof/>
          <w:lang w:val="en-US"/>
        </w:rPr>
        <w:t>, 2432(1), p.030021. https://doi.org/10.1063/5.0089726</w:t>
      </w:r>
    </w:p>
    <w:p w:rsidR="00873774" w:rsidRDefault="00873774" w:rsidP="0049067C">
      <w:pPr>
        <w:spacing w:line="240" w:lineRule="auto"/>
        <w:jc w:val="left"/>
        <w:rPr>
          <w:noProof/>
          <w:lang w:val="en-US"/>
        </w:rPr>
      </w:pPr>
      <w:r>
        <w:rPr>
          <w:noProof/>
          <w:lang w:val="en-US"/>
        </w:rPr>
        <w:t xml:space="preserve">Ibadullaev, A.S., Teshabaeva, E.U. and Juraev, V.N., 2016. Creation and application of ingredients based on local raw materials and industrial waste in elastomer composite materials. </w:t>
      </w:r>
      <w:r>
        <w:rPr>
          <w:i/>
          <w:iCs/>
          <w:noProof/>
          <w:lang w:val="en-US"/>
        </w:rPr>
        <w:t>Chemical Technology Journal</w:t>
      </w:r>
      <w:r>
        <w:rPr>
          <w:noProof/>
          <w:lang w:val="en-US"/>
        </w:rPr>
        <w:t>, Tashkent, Special issue, pp.66–71.</w:t>
      </w:r>
    </w:p>
    <w:p w:rsidR="00873774" w:rsidRDefault="00873774" w:rsidP="0049067C">
      <w:pPr>
        <w:spacing w:line="240" w:lineRule="auto"/>
        <w:jc w:val="left"/>
        <w:rPr>
          <w:noProof/>
          <w:lang w:val="en-US"/>
        </w:rPr>
      </w:pPr>
      <w:r>
        <w:rPr>
          <w:noProof/>
          <w:lang w:val="en-US"/>
        </w:rPr>
        <w:t>Jabbarov, U.R., Djalilov, A.T., Samigov, N.A., Sultanov, A.S., Axmedxonov, A. and Bazarbayev, F.N., 2010. Method for obtaining bitumen-polymer composite material. Patent of the Republic of Uzbekistan No. IAP 04087, dated 09.11.2010.</w:t>
      </w:r>
    </w:p>
    <w:p w:rsidR="00873774" w:rsidRDefault="00873774" w:rsidP="0049067C">
      <w:pPr>
        <w:spacing w:line="240" w:lineRule="auto"/>
        <w:jc w:val="left"/>
        <w:rPr>
          <w:noProof/>
          <w:lang w:val="en-US"/>
        </w:rPr>
      </w:pPr>
      <w:r>
        <w:rPr>
          <w:noProof/>
          <w:lang w:val="en-US"/>
        </w:rPr>
        <w:t xml:space="preserve">Jabborov, U.R., 1992. </w:t>
      </w:r>
      <w:r>
        <w:rPr>
          <w:i/>
          <w:iCs/>
          <w:noProof/>
          <w:lang w:val="en-US"/>
        </w:rPr>
        <w:t>Durability of Waterproofing Materials for Flat Roofs under Hot Climate Conditions.</w:t>
      </w:r>
      <w:r>
        <w:rPr>
          <w:noProof/>
          <w:lang w:val="en-US"/>
        </w:rPr>
        <w:t xml:space="preserve"> Tashkent: Fan Publishing House.</w:t>
      </w:r>
    </w:p>
    <w:p w:rsidR="00873774" w:rsidRDefault="00873774" w:rsidP="0049067C">
      <w:pPr>
        <w:spacing w:line="240" w:lineRule="auto"/>
        <w:jc w:val="left"/>
        <w:rPr>
          <w:noProof/>
          <w:lang w:val="en-US"/>
        </w:rPr>
      </w:pPr>
      <w:r>
        <w:rPr>
          <w:noProof/>
          <w:lang w:val="en-US"/>
        </w:rPr>
        <w:t xml:space="preserve">Ji, X., Yuan, Y., Huang, Y., Shao, J. and Li, S., 2024. Performance study of asphalt mixtures reinforced with gradated basalt fibers of mixed lengths. </w:t>
      </w:r>
      <w:r>
        <w:rPr>
          <w:i/>
          <w:iCs/>
          <w:noProof/>
          <w:lang w:val="en-US"/>
        </w:rPr>
        <w:t>Materials</w:t>
      </w:r>
      <w:r>
        <w:rPr>
          <w:noProof/>
          <w:lang w:val="en-US"/>
        </w:rPr>
        <w:t>, 17(19), p.4706. https://doi.org/10.3390/ma17194706</w:t>
      </w:r>
    </w:p>
    <w:p w:rsidR="00873774" w:rsidRDefault="00873774" w:rsidP="0049067C">
      <w:pPr>
        <w:spacing w:line="240" w:lineRule="auto"/>
        <w:jc w:val="left"/>
        <w:rPr>
          <w:noProof/>
          <w:lang w:val="en-US"/>
        </w:rPr>
      </w:pPr>
      <w:r>
        <w:rPr>
          <w:noProof/>
          <w:lang w:val="en-US"/>
        </w:rPr>
        <w:t xml:space="preserve">Memon, N.A., Ali, A.S.B., Md Yusoff, N.I., Al Allam, A.M., Isleem, H.F. and Khishe, M., 2025. Statistical optimization of crumb rubber modified bitumen performance through material blending analysis. </w:t>
      </w:r>
      <w:r>
        <w:rPr>
          <w:i/>
          <w:iCs/>
          <w:noProof/>
          <w:lang w:val="en-US"/>
        </w:rPr>
        <w:t>Scientific Reports</w:t>
      </w:r>
      <w:r>
        <w:rPr>
          <w:noProof/>
          <w:lang w:val="en-US"/>
        </w:rPr>
        <w:t>, 15, p.2115. https://doi.org/10.1038/s41598-025-31855-9</w:t>
      </w:r>
    </w:p>
    <w:p w:rsidR="00873774" w:rsidRDefault="00873774" w:rsidP="0049067C">
      <w:pPr>
        <w:spacing w:line="240" w:lineRule="auto"/>
        <w:jc w:val="left"/>
        <w:rPr>
          <w:noProof/>
          <w:lang w:val="en-US"/>
        </w:rPr>
      </w:pPr>
      <w:r>
        <w:rPr>
          <w:noProof/>
          <w:lang w:val="en-US"/>
        </w:rPr>
        <w:t xml:space="preserve">Shi, C., Wang, J., Sun, S., Lv, D., Xu, L. and Zhang, S., 2023. Research on properties of basalt fiber-reinforced asphalt mastic. </w:t>
      </w:r>
      <w:r>
        <w:rPr>
          <w:i/>
          <w:iCs/>
          <w:noProof/>
          <w:lang w:val="en-US"/>
        </w:rPr>
        <w:t>Frontiers in Materials</w:t>
      </w:r>
      <w:r>
        <w:rPr>
          <w:noProof/>
          <w:lang w:val="en-US"/>
        </w:rPr>
        <w:t>, 10, p.1277634. https://doi.org/10.3389/fmats.2023.1277634</w:t>
      </w:r>
    </w:p>
    <w:p w:rsidR="00873774" w:rsidRDefault="00873774" w:rsidP="0049067C">
      <w:pPr>
        <w:spacing w:line="240" w:lineRule="auto"/>
        <w:jc w:val="left"/>
        <w:rPr>
          <w:noProof/>
          <w:lang w:val="en-US"/>
        </w:rPr>
      </w:pPr>
      <w:r>
        <w:rPr>
          <w:noProof/>
          <w:lang w:val="en-US"/>
        </w:rPr>
        <w:t xml:space="preserve">Xu, G., Yu, Y., Yang, J., Wang, T., Kong, P. and Chen, X., 2021. Rheological and aging properties of composite modified bitumen by styrene–butadiene–styrene and desulfurized crumb rubber. </w:t>
      </w:r>
      <w:r>
        <w:rPr>
          <w:i/>
          <w:iCs/>
          <w:noProof/>
          <w:lang w:val="en-US"/>
        </w:rPr>
        <w:t>Polymers</w:t>
      </w:r>
      <w:r>
        <w:rPr>
          <w:noProof/>
          <w:lang w:val="en-US"/>
        </w:rPr>
        <w:t>, 13(18), p.3037. https://doi.org/10.3390/polym13183037</w:t>
      </w:r>
    </w:p>
    <w:p w:rsidR="00873774" w:rsidRDefault="00873774" w:rsidP="0049067C">
      <w:pPr>
        <w:spacing w:line="240" w:lineRule="auto"/>
        <w:jc w:val="left"/>
        <w:rPr>
          <w:noProof/>
          <w:lang w:val="en-US"/>
        </w:rPr>
      </w:pPr>
      <w:r>
        <w:rPr>
          <w:noProof/>
          <w:lang w:val="en-US"/>
        </w:rPr>
        <w:t xml:space="preserve">Zhu, H., Zhang, M., Li, Y., Zou, Y., Chen, A., Wang, F., Liu, L., Gu, D. and Zhou, S., 2022. Swelled mechanism of crumb rubber and technical properties of crumb rubber modified bitumen. </w:t>
      </w:r>
      <w:r>
        <w:rPr>
          <w:i/>
          <w:iCs/>
          <w:noProof/>
          <w:lang w:val="en-US"/>
        </w:rPr>
        <w:t>Materials</w:t>
      </w:r>
      <w:r>
        <w:rPr>
          <w:noProof/>
          <w:lang w:val="en-US"/>
        </w:rPr>
        <w:t>, 15(22), p.7987. https://doi.org/10.3390/ma15227987</w:t>
      </w:r>
    </w:p>
    <w:sectPr w:rsidR="00873774"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289A" w:rsidRDefault="002A289A" w:rsidP="004F5E36">
      <w:r>
        <w:separator/>
      </w:r>
    </w:p>
  </w:endnote>
  <w:endnote w:type="continuationSeparator" w:id="0">
    <w:p w:rsidR="002A289A" w:rsidRDefault="002A289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289A" w:rsidRDefault="002A289A" w:rsidP="004F5E36">
      <w:r>
        <w:separator/>
      </w:r>
    </w:p>
  </w:footnote>
  <w:footnote w:type="continuationSeparator" w:id="0">
    <w:p w:rsidR="002A289A" w:rsidRDefault="002A289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33E7"/>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A289A"/>
    <w:rsid w:val="002A4A41"/>
    <w:rsid w:val="002B4015"/>
    <w:rsid w:val="002B78CE"/>
    <w:rsid w:val="002C2FB6"/>
    <w:rsid w:val="002D356C"/>
    <w:rsid w:val="002E5FA7"/>
    <w:rsid w:val="002F3309"/>
    <w:rsid w:val="003008CE"/>
    <w:rsid w:val="003009B7"/>
    <w:rsid w:val="00300E56"/>
    <w:rsid w:val="0030152C"/>
    <w:rsid w:val="00303F12"/>
    <w:rsid w:val="0030469C"/>
    <w:rsid w:val="00321CA6"/>
    <w:rsid w:val="00323763"/>
    <w:rsid w:val="00323C5F"/>
    <w:rsid w:val="00334C09"/>
    <w:rsid w:val="003723D4"/>
    <w:rsid w:val="00377AC3"/>
    <w:rsid w:val="00381905"/>
    <w:rsid w:val="00384CC8"/>
    <w:rsid w:val="003871FD"/>
    <w:rsid w:val="003A1E30"/>
    <w:rsid w:val="003A2829"/>
    <w:rsid w:val="003A7D1C"/>
    <w:rsid w:val="003B304B"/>
    <w:rsid w:val="003B3146"/>
    <w:rsid w:val="003C6E66"/>
    <w:rsid w:val="003D1E02"/>
    <w:rsid w:val="003F015E"/>
    <w:rsid w:val="003F4784"/>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9067C"/>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1ABD"/>
    <w:rsid w:val="00532016"/>
    <w:rsid w:val="005346C8"/>
    <w:rsid w:val="00543E7D"/>
    <w:rsid w:val="005449AC"/>
    <w:rsid w:val="00547A68"/>
    <w:rsid w:val="005531C9"/>
    <w:rsid w:val="00570C43"/>
    <w:rsid w:val="0057522F"/>
    <w:rsid w:val="005901A6"/>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1B0F"/>
    <w:rsid w:val="006422CC"/>
    <w:rsid w:val="00651D18"/>
    <w:rsid w:val="00660E3E"/>
    <w:rsid w:val="00662E74"/>
    <w:rsid w:val="00664F9F"/>
    <w:rsid w:val="006802A3"/>
    <w:rsid w:val="00680C23"/>
    <w:rsid w:val="00683E23"/>
    <w:rsid w:val="00693766"/>
    <w:rsid w:val="006A3281"/>
    <w:rsid w:val="006B4888"/>
    <w:rsid w:val="006C1F36"/>
    <w:rsid w:val="006C2E45"/>
    <w:rsid w:val="006C359C"/>
    <w:rsid w:val="006C5579"/>
    <w:rsid w:val="006D6E8B"/>
    <w:rsid w:val="006D7209"/>
    <w:rsid w:val="006E737D"/>
    <w:rsid w:val="006E7CD4"/>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B667D"/>
    <w:rsid w:val="007C1A43"/>
    <w:rsid w:val="007D0951"/>
    <w:rsid w:val="007F27C8"/>
    <w:rsid w:val="0080013E"/>
    <w:rsid w:val="00813288"/>
    <w:rsid w:val="008168FC"/>
    <w:rsid w:val="00830996"/>
    <w:rsid w:val="008314D7"/>
    <w:rsid w:val="008345F1"/>
    <w:rsid w:val="008440FF"/>
    <w:rsid w:val="00865B07"/>
    <w:rsid w:val="008667EA"/>
    <w:rsid w:val="00873774"/>
    <w:rsid w:val="0087637F"/>
    <w:rsid w:val="00892AD5"/>
    <w:rsid w:val="008A06E1"/>
    <w:rsid w:val="008A1512"/>
    <w:rsid w:val="008B5DEF"/>
    <w:rsid w:val="008D32B9"/>
    <w:rsid w:val="008D433B"/>
    <w:rsid w:val="008D4A16"/>
    <w:rsid w:val="008E209A"/>
    <w:rsid w:val="008E45BC"/>
    <w:rsid w:val="008E566E"/>
    <w:rsid w:val="0090161A"/>
    <w:rsid w:val="00901EB6"/>
    <w:rsid w:val="009041F8"/>
    <w:rsid w:val="00904C62"/>
    <w:rsid w:val="00917A8B"/>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97DD1"/>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426B5"/>
    <w:rsid w:val="00B57B36"/>
    <w:rsid w:val="00B57E6F"/>
    <w:rsid w:val="00B62644"/>
    <w:rsid w:val="00B8686D"/>
    <w:rsid w:val="00B93F69"/>
    <w:rsid w:val="00BB1DDC"/>
    <w:rsid w:val="00BC30C9"/>
    <w:rsid w:val="00BD077D"/>
    <w:rsid w:val="00BD6185"/>
    <w:rsid w:val="00BD729C"/>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5EB8"/>
    <w:rsid w:val="00C870A8"/>
    <w:rsid w:val="00C94434"/>
    <w:rsid w:val="00CA0D75"/>
    <w:rsid w:val="00CA1C95"/>
    <w:rsid w:val="00CA5A9C"/>
    <w:rsid w:val="00CB2614"/>
    <w:rsid w:val="00CC4C20"/>
    <w:rsid w:val="00CD3517"/>
    <w:rsid w:val="00CD59A3"/>
    <w:rsid w:val="00CD5FE2"/>
    <w:rsid w:val="00CE7C68"/>
    <w:rsid w:val="00CF6922"/>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0FE0"/>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7">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unhideWhenUsed/>
    <w:rsid w:val="0003148D"/>
    <w:pPr>
      <w:spacing w:after="120" w:line="480" w:lineRule="auto"/>
      <w:ind w:left="283"/>
    </w:pPr>
  </w:style>
  <w:style w:type="character" w:customStyle="1" w:styleId="2c">
    <w:name w:val="Основной текст с отступом 2 Знак"/>
    <w:basedOn w:val="a2"/>
    <w:link w:val="2b"/>
    <w:uiPriority w:val="99"/>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styleId="afffe">
    <w:name w:val="Title"/>
    <w:basedOn w:val="a1"/>
    <w:link w:val="affff"/>
    <w:qFormat/>
    <w:rsid w:val="00BD6185"/>
    <w:pPr>
      <w:widowControl w:val="0"/>
      <w:tabs>
        <w:tab w:val="clear" w:pos="7100"/>
      </w:tabs>
      <w:autoSpaceDE w:val="0"/>
      <w:autoSpaceDN w:val="0"/>
      <w:adjustRightInd w:val="0"/>
      <w:spacing w:before="340" w:line="240" w:lineRule="auto"/>
      <w:jc w:val="center"/>
    </w:pPr>
    <w:rPr>
      <w:rFonts w:ascii="Times New Roman" w:hAnsi="Times New Roman"/>
      <w:b/>
      <w:bCs/>
      <w:sz w:val="24"/>
      <w:szCs w:val="24"/>
      <w:lang w:val="ru-RU" w:eastAsia="ru-RU"/>
    </w:rPr>
  </w:style>
  <w:style w:type="character" w:customStyle="1" w:styleId="affff">
    <w:name w:val="Заголовок Знак"/>
    <w:basedOn w:val="a2"/>
    <w:link w:val="afffe"/>
    <w:rsid w:val="00BD6185"/>
    <w:rPr>
      <w:rFonts w:ascii="Times New Roman" w:eastAsia="Times New Roman" w:hAnsi="Times New Roman" w:cs="Times New Roman"/>
      <w:b/>
      <w:bCs/>
      <w:sz w:val="24"/>
      <w:szCs w:val="24"/>
      <w:lang w:val="ru-RU" w:eastAsia="ru-RU"/>
    </w:rPr>
  </w:style>
  <w:style w:type="paragraph" w:customStyle="1" w:styleId="affff0">
    <w:basedOn w:val="a1"/>
    <w:next w:val="afffe"/>
    <w:qFormat/>
    <w:rsid w:val="00BD6185"/>
    <w:pPr>
      <w:widowControl w:val="0"/>
      <w:tabs>
        <w:tab w:val="clear" w:pos="7100"/>
      </w:tabs>
      <w:autoSpaceDE w:val="0"/>
      <w:autoSpaceDN w:val="0"/>
      <w:adjustRightInd w:val="0"/>
      <w:spacing w:before="340" w:line="240" w:lineRule="auto"/>
      <w:jc w:val="center"/>
    </w:pPr>
    <w:rPr>
      <w:rFonts w:ascii="Times New Roman" w:hAnsi="Times New Roman"/>
      <w:b/>
      <w:bCs/>
      <w:sz w:val="24"/>
      <w:szCs w:val="24"/>
      <w:lang w:val="ru-RU" w:eastAsia="ru-RU"/>
    </w:rPr>
  </w:style>
  <w:style w:type="paragraph" w:customStyle="1" w:styleId="FR2">
    <w:name w:val="FR2"/>
    <w:rsid w:val="00BD6185"/>
    <w:pPr>
      <w:widowControl w:val="0"/>
      <w:autoSpaceDE w:val="0"/>
      <w:autoSpaceDN w:val="0"/>
      <w:adjustRightInd w:val="0"/>
      <w:spacing w:after="0" w:line="460" w:lineRule="auto"/>
      <w:jc w:val="both"/>
    </w:pPr>
    <w:rPr>
      <w:rFonts w:ascii="Times New Roman" w:eastAsia="Times New Roman" w:hAnsi="Times New Roman" w:cs="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59472">
      <w:bodyDiv w:val="1"/>
      <w:marLeft w:val="0"/>
      <w:marRight w:val="0"/>
      <w:marTop w:val="0"/>
      <w:marBottom w:val="0"/>
      <w:divBdr>
        <w:top w:val="none" w:sz="0" w:space="0" w:color="auto"/>
        <w:left w:val="none" w:sz="0" w:space="0" w:color="auto"/>
        <w:bottom w:val="none" w:sz="0" w:space="0" w:color="auto"/>
        <w:right w:val="none" w:sz="0" w:space="0" w:color="auto"/>
      </w:divBdr>
    </w:div>
    <w:div w:id="715743664">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80556">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62595105">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02336">
      <w:bodyDiv w:val="1"/>
      <w:marLeft w:val="0"/>
      <w:marRight w:val="0"/>
      <w:marTop w:val="0"/>
      <w:marBottom w:val="0"/>
      <w:divBdr>
        <w:top w:val="none" w:sz="0" w:space="0" w:color="auto"/>
        <w:left w:val="none" w:sz="0" w:space="0" w:color="auto"/>
        <w:bottom w:val="none" w:sz="0" w:space="0" w:color="auto"/>
        <w:right w:val="none" w:sz="0" w:space="0" w:color="auto"/>
      </w:divBdr>
    </w:div>
    <w:div w:id="1738237364">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mandarshomurodov919@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8B4FE-86CE-4BDD-A54C-AB3AFE630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3512</Words>
  <Characters>20022</Characters>
  <Application>Microsoft Office Word</Application>
  <DocSecurity>0</DocSecurity>
  <Lines>166</Lines>
  <Paragraphs>46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Samandar</cp:lastModifiedBy>
  <cp:revision>9</cp:revision>
  <cp:lastPrinted>2015-05-12T18:31:00Z</cp:lastPrinted>
  <dcterms:created xsi:type="dcterms:W3CDTF">2026-08-21T06:47:00Z</dcterms:created>
  <dcterms:modified xsi:type="dcterms:W3CDTF">2026-09-05T15:09:00Z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